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709"/>
        <w:spacing/>
        <w:jc w:val="right"/>
        <w:outlineLvl w:val="1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Приложение 14</w:t>
      </w:r>
    </w:p>
    <w:p>
      <w:pPr>
        <w:ind w:left="709"/>
        <w:spacing/>
        <w:jc w:val="right"/>
        <w:outlineLvl w:val="1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к приказу департамента </w:t>
      </w:r>
    </w:p>
    <w:p>
      <w:pPr>
        <w:ind w:left="709"/>
        <w:spacing/>
        <w:jc w:val="right"/>
        <w:outlineLvl w:val="1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имущественных и земельных </w:t>
      </w:r>
    </w:p>
    <w:p>
      <w:pPr>
        <w:ind w:left="709"/>
        <w:spacing/>
        <w:jc w:val="right"/>
        <w:outlineLvl w:val="1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отношений Воронежской области</w:t>
      </w:r>
    </w:p>
    <w:p>
      <w:pPr>
        <w:ind w:left="709"/>
        <w:spacing/>
        <w:jc w:val="right"/>
        <w:outlineLvl w:val="1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от «27» января 2012 г. № 137</w:t>
      </w:r>
    </w:p>
    <w:p>
      <w:pPr>
        <w:pStyle w:val="ConsPlusNormal"/>
        <w:ind w:firstLine="567"/>
        <w:spacing/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ConsPlusNormal"/>
        <w:ind w:firstLine="567"/>
        <w:spacing/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ConsPlusNormal"/>
        <w:ind w:firstLine="567"/>
        <w:spacing/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>
      <w:pPr>
        <w:pStyle w:val="ConsPlusNormal"/>
        <w:ind w:firstLine="567"/>
        <w:spacing/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частного сервитута на земельный участок</w:t>
      </w:r>
    </w:p>
    <w:p>
      <w:pPr>
        <w:pStyle w:val="ConsPlusNormal"/>
        <w:ind w:firstLine="567"/>
        <w:spacing/>
        <w:jc w:val="center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(постоянного, возмездного)</w:t>
      </w:r>
    </w:p>
    <w:p>
      <w:pPr>
        <w:pStyle w:val="ConsPlusNormal"/>
        <w:ind w:firstLine="567"/>
        <w:spacing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ind w:right="-99"/>
        <w:spacing/>
        <w:jc w:val="both"/>
      </w:pPr>
      <w:r>
        <w:t xml:space="preserve">г. Воронеж, Воронежская область, Российская Федерация  </w:t>
      </w:r>
    </w:p>
    <w:p>
      <w:pPr>
        <w:pStyle w:val="ConsPlusNormal"/>
        <w:ind w:firstLine="567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jc w:val="left"/>
        <w:tblInd w:w="-108" w:type="dxa"/>
        <w:tblW w:w="9852" w:type="dxa"/>
      </w:tblPr>
      <w:tblGrid>
        <w:gridCol w:w="4926"/>
        <w:gridCol w:w="4926"/>
      </w:tblGrid>
      <w:tr>
        <w:trPr>
          <w:trHeight w:val="0" w:hRule="auto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9829285" protected="0"/>
          </w:tcPr>
          <w:p>
            <w:pPr>
              <w:ind w:right="-99"/>
              <w:spacing/>
              <w:jc w:val="both"/>
              <w:rPr>
                <w:lang w:val="en-us"/>
              </w:rPr>
            </w:pPr>
            <w:r>
              <w:t>№  __124____________</w:t>
            </w:r>
            <w:r>
              <w:rPr>
                <w:lang w:val="en-us"/>
              </w:rPr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9829285" protected="0"/>
          </w:tcPr>
          <w:p>
            <w:pPr>
              <w:ind w:right="-99"/>
              <w:spacing/>
              <w:jc w:val="right"/>
            </w:pPr>
            <w:r>
              <w:t xml:space="preserve"> « 12___»__ма__________ 2</w:t>
            </w:r>
            <w:r>
              <w:rPr>
                <w:lang w:val="en-us"/>
              </w:rPr>
              <w:t>0</w:t>
            </w:r>
            <w:r>
              <w:t>1_7_ г.</w:t>
            </w:r>
          </w:p>
        </w:tc>
      </w:tr>
    </w:tbl>
    <w:p>
      <w:pPr>
        <w:ind w:right="-99"/>
        <w:spacing/>
        <w:jc w:val="both"/>
      </w:pPr>
      <w:r/>
    </w:p>
    <w:p>
      <w:pPr>
        <w:ind w:firstLine="709"/>
        <w:spacing/>
        <w:jc w:val="both"/>
      </w:pPr>
      <w:r/>
    </w:p>
    <w:p>
      <w:pPr>
        <w:ind w:right="-96" w:firstLine="567"/>
        <w:spacing/>
        <w:jc w:val="both"/>
      </w:pPr>
      <w:r>
        <w:rPr>
          <w:b/>
          <w:bCs/>
        </w:rPr>
        <w:t>Департамент имущественных и земельных отношений</w:t>
      </w:r>
      <w:r>
        <w:rPr>
          <w:b/>
        </w:rPr>
        <w:t xml:space="preserve"> </w:t>
      </w:r>
      <w:r>
        <w:rPr>
          <w:b/>
          <w:bCs/>
        </w:rPr>
        <w:t>Воронежской области</w:t>
      </w:r>
      <w:r>
        <w:t xml:space="preserve">, </w:t>
      </w:r>
      <w:r>
        <w:rPr>
          <w:bCs/>
        </w:rPr>
        <w:t xml:space="preserve">именуемый в дальнейшем </w:t>
      </w:r>
      <w:r>
        <w:rPr>
          <w:b/>
          <w:bCs/>
        </w:rPr>
        <w:t>«Департамент»</w:t>
      </w:r>
      <w:r>
        <w:rPr>
          <w:bCs/>
        </w:rPr>
        <w:t>,</w:t>
      </w:r>
      <w:r>
        <w:t xml:space="preserve"> в лице Иванова Ивана Ивановича___________________, действующего на основании устава___________________________, с одной стороны,</w:t>
      </w:r>
    </w:p>
    <w:p>
      <w:pPr>
        <w:ind w:right="-96" w:firstLine="567"/>
        <w:spacing/>
        <w:jc w:val="both"/>
      </w:pPr>
      <w:r>
        <w:rPr>
          <w:b/>
        </w:rPr>
        <w:t>_Петрова Петра Петровича_____________________</w:t>
      </w:r>
      <w:r>
        <w:t xml:space="preserve"> </w:t>
      </w:r>
      <w:r>
        <w:rPr>
          <w:b/>
        </w:rPr>
        <w:t>- лицо, в пользу которого устанавливается сервитут</w:t>
      </w:r>
      <w:r>
        <w:t>, именуемый в</w:t>
      </w:r>
      <w:r>
        <w:rPr>
          <w:b/>
          <w:bCs/>
        </w:rPr>
        <w:t xml:space="preserve"> </w:t>
      </w:r>
      <w:r>
        <w:t xml:space="preserve">дальнейшем </w:t>
      </w:r>
      <w:r>
        <w:rPr>
          <w:b/>
        </w:rPr>
        <w:t>«Пользователь»</w:t>
      </w:r>
      <w:r>
        <w:t xml:space="preserve">, в лице __________________, действующего на основании _______________, с другой стороны, вместе именуемые </w:t>
      </w:r>
      <w:r>
        <w:rPr>
          <w:b/>
        </w:rPr>
        <w:t>«Стороны»</w:t>
      </w:r>
      <w:r>
        <w:t xml:space="preserve">, на основании ст.ст. 131, 274, 432 Гражданского кодекса РФ, ст.ст. 23, 48 Земельного кодекса РФ, ст. 27 Федерального закона от 21.07.1997 № 122-ФЗ «О государственной регистрации прав на недвижимое имущество и сделок с ним», заключили настоящее Соглашение о нижеследующем: </w:t>
      </w:r>
    </w:p>
    <w:p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567"/>
        <w:spacing/>
        <w:jc w:val="both"/>
      </w:pPr>
      <w:r>
        <w:t>1.1. «Департамент» в соответствии с условиями настоящего Соглашения предоставляет «Пользователю» право ограниченного пользования земельным участком (сервитут) площадью _50______ кв.м., расположенного по адресу: г. Воронеж, ул. Магистральная, д.3________________ в целях _________беспрепятственного прохода через  участок</w:t>
      </w:r>
    </w:p>
    <w:p>
      <w:pPr>
        <w:ind w:firstLine="567"/>
        <w:spacing/>
        <w:jc w:val="both"/>
      </w:pPr>
      <w:r>
        <w:t>______________________________________________________________.</w:t>
      </w:r>
    </w:p>
    <w:p>
      <w:pPr>
        <w:spacing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>
      <w:pPr>
        <w:ind w:firstLine="567"/>
        <w:spacing/>
        <w:jc w:val="both"/>
      </w:pPr>
      <w:r>
        <w:t>Данный участок является частью земельного участка общей площадью _600________ кв.м. с кадастровым номером _12:61:2346:12____________________, предоставленного в аренду Сидорову Ивану Дмитриевичу_____________ по договору аренды земельного участка от 12 сентября 2014 года_____ № 234_________.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Границы сервитута определены на схеме земельного участка, являющейся неотъемлемой частью настоящего соглашения.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Сервитут является частным, постоянным.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Настоящее соглашение подлежит обязательной государственной регистрации в установленном порядке и вступает в силу (считается заключенным) с момента таковой. Обязанность по подаче (получению) документов в орган, осуществляющий государственную регистрацию, настоящего Соглашения лежит на - лице, в пользу которого устанавливается сервитут. 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Расходы, связанные с государственной регистрацией сервитута, несет</w:t>
        <w:br w:type="textWrapping"/>
        <w:t>«Пользователь».</w:t>
      </w:r>
    </w:p>
    <w:p>
      <w:pPr>
        <w:ind w:firstLine="567"/>
        <w:spacing/>
        <w:jc w:val="both"/>
      </w:pPr>
      <w:r>
        <w:t>1.6. Сервитут вступает в силу после его регистрации в Едином государственном реестре прав на недвижимое имущество и сделок с ним.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Согласно ст. 48 Земельного кодекса РФ частный сервитут может быть прекращен по основаниям, предусмотренным гражданским законодательством.</w:t>
      </w:r>
    </w:p>
    <w:p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ОГРАНИЧЕННОГО ПОЛЬЗОВАНИЯ</w:t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Ограниченное пользование (сервитут) частью земельного участка осуществляется «Пользователем» строго в пределах границ, определенных согласно п. 1.1. Соглашения и схеме земельного участка.</w:t>
      </w:r>
    </w:p>
    <w:p>
      <w:pPr>
        <w:ind w:firstLine="567"/>
        <w:spacing/>
        <w:jc w:val="both"/>
      </w:pPr>
      <w:r>
        <w:t>2.2. Осуществление сервитута «Пользователем» происходит в следующем порядке: «Пользователю» предоставляется право беспрепятственно, в любое время суток осуществлять _беспрепятственный прохода через участок_____________________________________________________________________________.</w:t>
      </w:r>
    </w:p>
    <w:p>
      <w:pPr>
        <w:spacing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Обременение части земельного участка сервитутом не лишает собственника права владения, пользования и распоряжения этой частью земельного участка. Осуществление сервитута «Пользователем» должно быть наименее обременительным для земельного участка, в отношении которого он установлен.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Сервитут сохраняется в случае перехода прав на земельный участок, который обременен этим сервитутом, к другому лицу.</w:t>
      </w:r>
    </w:p>
    <w:p>
      <w:pPr>
        <w:ind w:firstLine="567"/>
        <w:spacing/>
        <w:jc w:val="both"/>
      </w:pPr>
      <w:r>
        <w:t>2.6. В случае перехода от «Пользователя» права владения своим объектом недвижимости к иному лицу в настоящее Соглашение вносится соответствующее изменение в части замены «Пользователя».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Сервитут не может быть самостоятельным предметом купли-продажи, залога и не может передаваться каким - либо способом лицам, не являющимся собственниками недвижимого имущества, для обеспечения использования которого сервитут установлен.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«Департамент» обязан предоставлять «Пользователю» возможность пользоваться принадлежащим ему недвижимым имуществом в порядке, установленном настоящим Соглашением.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«Департамент» вправе требовать прекращения сервитута ввиду отпадения оснований, по которым он установлен.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«Пользователь» обязан: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Зарегистрировать в органе, осуществляющем государственную регистрацию прав на недвижимое имущество и сделок с ним Соглашение и все изменения и дополнения к нему;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Представить «Департаменту» документы, подтверждающие государственную регистрацию сервитута в тридцатидневный срок с момента внесения соответствующей записи в Единый государственный реестр прав на недвижимое имущество и сделок с ним;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Своевременно вносить плату за сервитут.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Осуществлять сервитут - пользоваться земельным участком в порядке, установленном разделом 2 настоящего Соглашения, наименее обременительным способом.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ПЛАТА ЗА СЕРВИТУТ</w:t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ConsPlusNormal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«Пользователь» за установленное обременение части земельного участка уплачивает соразмерную плату за сервитут «Департаменту».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сервитут рассчитана на основании ст. 432 Гражданского кодекса РФ, п.10 ст.3 ФЗ «О введении в действие Земельного кодекса Российской Федерации», п. 3 ст. 65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кодекса РФ, </w:t>
      </w:r>
      <w:r>
        <w:rPr>
          <w:rFonts w:ascii="Times New Roman" w:hAnsi="Times New Roman" w:cs="Times New Roman"/>
          <w:sz w:val="24"/>
          <w:szCs w:val="24"/>
        </w:rPr>
        <w:t>постановления правительства Воронежской области от 27.08.2010 №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723 «О методике расчета соразмерной платы за право ограниченного пользования земельными участками (частный сервитут), находящимися в собственности Воронежской области, и земельными участками,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 в городском округе город Воронеж».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Размер ежегодной платы за сервитут может быть пересмотрен «Департаментом» в одностороннем порядке в связи с решениями органов государственной власти РФ и Воронежской области. </w:t>
      </w:r>
    </w:p>
    <w:p>
      <w:pPr>
        <w:pStyle w:val=""/>
        <w:ind w:left="0"/>
      </w:pPr>
      <w:r>
        <w:t xml:space="preserve">Расчет суммы платы за сервитут по новой (измененной) цене производится за 1 (один) месяц до срока внесения платежа, с последующим письменным уведомлением «Пользователя», которое является неотъемлемой частью настоящего Договора. </w:t>
      </w:r>
    </w:p>
    <w:p>
      <w:pPr>
        <w:pStyle w:val=""/>
        <w:ind w:left="0"/>
      </w:pPr>
      <w:r>
        <w:t>Письменное уведомление «Пользователя» не требуется в случае официального опубликования в средствах массовой информации соответствующего нормативного акта. Новый размер платы за сервитут подлежит применению с даты вступления в силу нормативного акта, независимо от механизма изменения платы за сервитут, предусмотренного настоящим Договором.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«Пользователь» обязуются вносить плату за право ограниченного пользования земельным участком с даты заключения настоящего соглашения, поквартально равными частями не позднее 25 (двадцать пятого) числа первого месяца текущего квартала. </w:t>
      </w:r>
    </w:p>
    <w:p>
      <w:pPr>
        <w:ind w:firstLine="540"/>
        <w:spacing/>
        <w:jc w:val="both"/>
      </w:pPr>
      <w:r>
        <w:t>4.4. Плата за сервитут производится «Пользователями» на следующие реквизиты:</w:t>
      </w:r>
    </w:p>
    <w:p>
      <w:r>
        <w:t xml:space="preserve">Расчетный счет -  40101810500000010004 </w:t>
      </w:r>
    </w:p>
    <w:p>
      <w:r>
        <w:t>в ГРКЦ ГУ Банка России по Воронежской области (г. Воронеж)</w:t>
      </w:r>
    </w:p>
    <w:p>
      <w:r>
        <w:t xml:space="preserve">БИК - 042007001  </w:t>
      </w:r>
    </w:p>
    <w:p>
      <w:r>
        <w:t>получатель платежа – УФК  по Воронежской области  (Департамент имущественных и земельных отношений Воронежской области)</w:t>
      </w:r>
    </w:p>
    <w:p>
      <w:r>
        <w:t>ИНН – 3666057069</w:t>
      </w:r>
    </w:p>
    <w:p>
      <w:r>
        <w:t>КПП – 366601001</w:t>
      </w:r>
    </w:p>
    <w:p>
      <w:r>
        <w:t xml:space="preserve">ОКАТО - 20401000000 </w:t>
      </w:r>
    </w:p>
    <w:p>
      <w:pPr>
        <w:spacing/>
        <w:jc w:val="both"/>
        <w:rPr>
          <w:b/>
        </w:rPr>
      </w:pPr>
      <w:r>
        <w:t>КБК - 835 111 05010 04 0000 120 – за земельные участки, государственная собственность на которые не разграничена,</w:t>
      </w:r>
      <w:bookmarkStart w:id="0" w:name="_GoBack"/>
      <w:bookmarkEnd w:id="0"/>
      <w:r/>
      <w:r>
        <w:rPr>
          <w:b/>
        </w:rPr>
      </w:r>
    </w:p>
    <w:p>
      <w:pPr>
        <w:spacing/>
        <w:jc w:val="both"/>
        <w:rPr>
          <w:b/>
        </w:rPr>
      </w:pPr>
      <w:r>
        <w:t>КБК - 83511105022020000120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t>за земельные участки, находящиеся в собственности Воронежской области.</w:t>
      </w:r>
      <w:r>
        <w:rPr>
          <w:b/>
        </w:rPr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Платежный документ оформляется с обязательным указанием номера соглашения об установлении сервитута и периода, за который осуществляется платеж. 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Исполнением обязательства по внесению платы за сервитут является ее поступление на расчетный счет.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окончании установленных сроков уплаты платы за сервитут невнесенная сумма считается недоимкой консолидированного бюджета и взыскивается с начислением пени (неустойки) в размере 0,1 % от суммы задолженности за каждый просроченный день.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567"/>
        <w:spacing/>
        <w:jc w:val="both"/>
      </w:pPr>
      <w:r>
        <w:t>5.1. В случае неисполнения одной из Сторон должным образом обязательств по соглашению, другая Сторона вправе обратиться в суд с требованием о расторжении соглашения об установлении сервитута в порядке, установленном действующим законодательством Российской Федерации.</w:t>
      </w:r>
    </w:p>
    <w:p>
      <w:pPr>
        <w:ind w:firstLine="567"/>
        <w:spacing/>
        <w:jc w:val="both"/>
      </w:pPr>
      <w:r>
        <w:t xml:space="preserve">5.2. В случае нарушения «Пользователем» обязательств по внесению платы за сервитут, «Департамент» в соответствии со ст.ст. 309, 310, 614 Гражданского кодекса РФ, </w:t>
        <w:br w:type="textWrapping"/>
        <w:t>ст. ст. 22, 65 Земельного кодекса РФ вправе обратиться в суд с иском о взыскании образовавшейся задолженности в соответствии с условиями настоящего Соглашения.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"/>
        <w:ind w:firstLine="567"/>
      </w:pPr>
      <w:r>
        <w:t xml:space="preserve">6.1. Споры, возникающие при исполнении настоящего Соглашения, разрешаются в порядке, установленном действующим законодательством. 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пришли к соглашению, что споры, возникающие при исполнении настоящего Договора, подлежат рассмотрению в суде по месту нахождения Департамента.</w:t>
      </w:r>
    </w:p>
    <w:p>
      <w:pPr>
        <w:pStyle w:val="ConsPlusNonformat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наступлении обстоятельств, указанных в п. 7.1.,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Если Сторона не направит или несвоевременно направит извещение, предусмотренное в п. 7.2., то она обязана возместить другой Стороне понесенные второй Стороной убытки.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случаях наступления обстоятельств, предусмотренных в п. 7.1,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Если наступившие обстоятельства, перечисленные в п. 7.1,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>
      <w:pPr>
        <w:pStyle w:val="ConsPlusNonformat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Настоящее Соглашение вступает в силу с момента государственной регистрации. Соглашение составлено в 3__________ подлинных экземплярах, имеющих равную юридическую силу, по одному экземпляру для каждой из Сторон, по одному для каждой Стороны. Один экземпляр Соглашения хранится в органе, осуществляющем государственную регистрацию прав.</w:t>
      </w:r>
    </w:p>
    <w:p>
      <w:pPr>
        <w:pStyle w:val="ConsPlusNonformat"/>
        <w:ind w:firstLine="567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Обязательным приложением к договору является заключение о возможности организации проезда через земельный участок, схема земельного участка с графическим изображением сферы действия сервитута, расчет платы за частный сервитут на земельный участок.</w:t>
      </w:r>
    </w:p>
    <w:p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ind w:firstLine="567"/>
        <w: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«Департамент»                                                          «Пользователь»</w:t>
      </w:r>
    </w:p>
    <w:tbl>
      <w:tblPr>
        <w:jc w:val="left"/>
        <w:tblInd w:w="-108" w:type="dxa"/>
        <w:tblW w:w="9288" w:type="dxa"/>
      </w:tblPr>
      <w:tblGrid>
        <w:gridCol w:w="4786"/>
        <w:gridCol w:w="284"/>
        <w:gridCol w:w="4218"/>
      </w:tblGrid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9829285" protected="0"/>
          </w:tcPr>
          <w:p>
            <w:pPr>
              <w:pStyle w:val="31"/>
              <w:rPr>
                <w:b w:val="0"/>
              </w:rPr>
            </w:pPr>
            <w:r>
              <w:rPr>
                <w:b w:val="0"/>
              </w:rPr>
              <w:t>Департамент имущественных и земельных отношений Воронежской области</w:t>
            </w:r>
          </w:p>
          <w:p>
            <w:pPr>
              <w:pStyle w:val="3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</w:r>
          </w:p>
          <w:p>
            <w:pPr>
              <w:ind w:right="-68"/>
              <w:spacing/>
              <w:jc w:val="both"/>
            </w:pPr>
            <w:r>
              <w:t>394006, г.Воронеж, пл. Ленина, 12</w:t>
            </w:r>
          </w:p>
          <w:p>
            <w:pPr>
              <w:ind w:right="-68"/>
              <w:spacing/>
              <w:jc w:val="both"/>
            </w:pPr>
            <w:r>
              <w:t>ИНН 3666057069</w:t>
            </w:r>
          </w:p>
          <w:p>
            <w:pPr>
              <w:pStyle w:val=".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ОГРН 1023601570904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.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.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_____________</w:t>
            </w:r>
          </w:p>
          <w:p>
            <w:pPr>
              <w:pStyle w:val="."/>
              <w:ind w:right="2"/>
              <w:spacing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М.П.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9829285" protected="0"/>
          </w:tcPr>
          <w:p>
            <w:pPr>
              <w:pStyle w:val="."/>
              <w:ind w:right="2" w:firstLine="567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9829285" protected="0"/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 Петр Петрович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Воронеж, ул. Магистральная, д.2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1234 5678 выдан 31 января 2010 года Воронежским РОВД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nformat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07"/>
      <w:pgMar w:left="1701" w:top="568" w:right="567" w:bottom="568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cc"/>
    <w:family w:val="roman"/>
    <w:pitch w:val="default"/>
  </w:font>
  <w:font w:name="SchoolBook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-"/>
      <w:lvlJc w:val="left"/>
      <w:pPr>
        <w:ind w:left="-27" w:hanging="0"/>
      </w:pPr>
      <w:rPr>
        <w:rPr>
          <w:rFonts w:ascii="Times New Roman" w:hAnsi="Times New Roman" w:eastAsia="Times New Roman"/>
        </w:rPr>
      </w:rPr>
    </w:lvl>
    <w:lvl w:ilvl="1">
      <w:numFmt w:val="bullet"/>
      <w:suff w:val="tab"/>
      <w:lvlText w:val="o"/>
      <w:lvlJc w:val="left"/>
      <w:pPr>
        <w:ind w:left="69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41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13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85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57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29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01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733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Нумерованный список 4"/>
    <w:lvl w:ilvl="0">
      <w:start w:val="5"/>
      <w:numFmt w:val="decimal"/>
      <w:suff w:val="tab"/>
      <w:lvlText w:val="%1."/>
      <w:lvlJc w:val="left"/>
      <w:pPr>
        <w:ind w:left="0" w:hanging="0"/>
      </w:pPr>
      <w:rPr>
        <w:rPr>
          <w:rFonts w:cs="Times New Roman"/>
        </w:rPr>
      </w:rPr>
    </w:lvl>
    <w:lvl w:ilvl="1">
      <w:start w:val="1"/>
      <w:numFmt w:val="decimal"/>
      <w:suff w:val="tab"/>
      <w:lvlText w:val="%1.%2."/>
      <w:lvlJc w:val="left"/>
      <w:pPr>
        <w:ind w:left="33" w:hanging="0"/>
      </w:pPr>
      <w:rPr>
        <w:rPr>
          <w:rFonts w:cs="Times New Roman"/>
        </w:rPr>
      </w:rPr>
    </w:lvl>
    <w:lvl w:ilvl="2">
      <w:start w:val="1"/>
      <w:numFmt w:val="decimal"/>
      <w:suff w:val="tab"/>
      <w:lvlText w:val="%1.%2.%3."/>
      <w:lvlJc w:val="left"/>
      <w:pPr>
        <w:ind w:left="66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1.%2.%3.%4."/>
      <w:lvlJc w:val="left"/>
      <w:pPr>
        <w:ind w:left="99" w:hanging="0"/>
      </w:pPr>
      <w:rPr>
        <w:rPr>
          <w:rFonts w:cs="Times New Roman"/>
        </w:rPr>
      </w:rPr>
    </w:lvl>
    <w:lvl w:ilvl="4">
      <w:start w:val="1"/>
      <w:numFmt w:val="decimal"/>
      <w:suff w:val="tab"/>
      <w:lvlText w:val="%1.%2.%3.%4.%5."/>
      <w:lvlJc w:val="left"/>
      <w:pPr>
        <w:ind w:left="132" w:hanging="0"/>
      </w:pPr>
      <w:rPr>
        <w:rPr>
          <w:rFonts w:cs="Times New Roman"/>
        </w:rPr>
      </w:rPr>
    </w:lvl>
    <w:lvl w:ilvl="5">
      <w:start w:val="1"/>
      <w:numFmt w:val="decimal"/>
      <w:suff w:val="tab"/>
      <w:lvlText w:val="%1.%2.%3.%4.%5.%6."/>
      <w:lvlJc w:val="left"/>
      <w:pPr>
        <w:ind w:left="165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1.%2.%3.%4.%5.%6.%7."/>
      <w:lvlJc w:val="left"/>
      <w:pPr>
        <w:ind w:left="198" w:hanging="0"/>
      </w:pPr>
      <w:rPr>
        <w:rPr>
          <w:rFonts w:cs="Times New Roman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231" w:hanging="0"/>
      </w:pPr>
      <w:rPr>
        <w:rPr>
          <w:rFonts w:cs="Times New Roman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264" w:hanging="0"/>
      </w:pPr>
      <w:rPr>
        <w:rPr>
          <w:rFonts w:cs="Times New Roman"/>
        </w:rPr>
      </w:rPr>
    </w:lvl>
  </w:abstractNum>
  <w:abstractNum w:abstractNumId="5">
    <w:multiLevelType w:val="singleLevel"/>
    <w:name w:val="Bullet 5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/>
        </w:rPr>
      </w:rPr>
    </w:lvl>
  </w:abstractNum>
  <w:abstractNum w:abstractNumId="6">
    <w:multiLevelType w:val="singleLevel"/>
    <w:name w:val="Bullet 6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</w:rPr>
      </w:rPr>
    </w:lvl>
  </w:abstractNum>
  <w:abstractNum w:abstractNumId="7">
    <w:multiLevelType w:val="singleLevel"/>
    <w:name w:val="Bullet 7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singleLevel"/>
    <w:name w:val="Bullet 8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9">
    <w:multiLevelType w:val="singleLevel"/>
    <w:name w:val="Bullet 9"/>
    <w:lvl w:ilvl="0">
      <w:start w:val="5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10">
    <w:multiLevelType w:val="singleLevel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5"/>
    <w:tmLastPosCaret>
      <w:tmLastPosPgfIdx w:val="4"/>
      <w:tmLastPosIdx w:val="60"/>
    </w:tmLastPosCaret>
    <w:tmLastPosAnchor>
      <w:tmLastPosPgfIdx w:val="0"/>
      <w:tmLastPosIdx w:val="0"/>
    </w:tmLastPosAnchor>
    <w:tmLastPosTblRect w:left="0" w:top="0" w:right="0" w:bottom="0"/>
  </w:tmLastPos>
  <w:tmAppRevision w:date="1519829285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3">
    <w:name w:val="heading 3"/>
    <w:qFormat/>
    <w:basedOn w:val=""/>
    <w:next w:val=""/>
    <w:pPr>
      <w:ind w:left="-567" w:right="-99" w:firstLine="1287"/>
      <w:spacing/>
      <w:jc w:val="center"/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ConsPlusNormal" w:customStyle="1">
    <w:name w:val="ConsPlusNormal"/>
    <w:qFormat/>
    <w:pPr>
      <w:ind w:firstLine="720"/>
      <w:widowControl w:val="0"/>
    </w:pPr>
    <w:rPr>
      <w:rFonts w:ascii="Arial" w:hAnsi="Arial" w:cs="Arial"/>
      <w:sz w:val="20"/>
      <w:szCs w:val="20"/>
    </w:rPr>
  </w:style>
  <w:style w:type="paragraph" w:styleId="ConsPlusNonformat" w:customStyle="1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ConsPlusTitle" w:customStyle="1">
    <w:name w:val="ConsPlusTitle"/>
    <w:qFormat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ConsPlusCell" w:customStyle="1">
    <w:name w:val="ConsPlusCell"/>
    <w:qFormat/>
    <w:pPr>
      <w:widowControl w:val="0"/>
    </w:pPr>
    <w:rPr>
      <w:rFonts w:ascii="Arial" w:hAnsi="Arial" w:cs="Arial"/>
      <w:sz w:val="20"/>
      <w:szCs w:val="20"/>
    </w:rPr>
  </w:style>
  <w:style w:type="paragraph" w:styleId="ConsPlusDocList" w:customStyle="1">
    <w:name w:val="ConsPlusDocLis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">
    <w:name w:val="Body Text"/>
    <w:qFormat/>
    <w:basedOn w:val=""/>
    <w:pPr>
      <w:spacing/>
      <w:jc w:val="both"/>
    </w:pPr>
  </w:style>
  <w:style w:type="paragraph" w:styleId="">
    <w:name w:val="Body Text Indent"/>
    <w:qFormat/>
    <w:basedOn w:val=""/>
    <w:pPr>
      <w:ind w:left="-567" w:firstLine="567"/>
      <w:spacing/>
      <w:jc w:val="both"/>
    </w:pPr>
  </w:style>
  <w:style w:type="paragraph" w:styleId="ConsNormal" w:customStyle="1">
    <w:name w:val="ConsNormal"/>
    <w:qFormat/>
    <w:pPr>
      <w:ind w:right="19772" w:firstLine="720"/>
      <w:widowControl w:val="0"/>
    </w:pPr>
    <w:rPr>
      <w:rFonts w:ascii="Arial" w:hAnsi="Arial" w:cs="Arial"/>
      <w:sz w:val="20"/>
      <w:szCs w:val="20"/>
    </w:rPr>
  </w:style>
  <w:style w:type="paragraph" w:styleId="ConsNonformat" w:customStyle="1">
    <w:name w:val="ConsNonformat"/>
    <w:qFormat/>
    <w:pPr>
      <w:ind w:right="19772"/>
      <w:widowControl w:val="0"/>
    </w:pPr>
    <w:rPr>
      <w:rFonts w:ascii="Courier New" w:hAnsi="Courier New" w:cs="Courier New"/>
      <w:sz w:val="20"/>
      <w:szCs w:val="20"/>
    </w:rPr>
  </w:style>
  <w:style w:type="paragraph" w:styleId="ConsTitle" w:customStyle="1">
    <w:name w:val="ConsTitle"/>
    <w:qFormat/>
    <w:pPr>
      <w:ind w:right="19772"/>
      <w:widowControl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qFormat/>
    <w:basedOn w:val="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">
    <w:name w:val="No Spacing"/>
    <w:qFormat/>
  </w:style>
  <w:style w:type="paragraph" w:styleId="3">
    <w:name w:val="Body Text 3"/>
    <w:qFormat/>
    <w:basedOn w:val=""/>
    <w:pPr>
      <w:spacing w:after="120"/>
    </w:pPr>
    <w:rPr>
      <w:sz w:val="16"/>
      <w:szCs w:val="16"/>
    </w:rPr>
  </w:style>
  <w:style w:type="paragraph" w:styleId="." w:customStyle="1">
    <w:name w:val="Обычный.Название подразделения"/>
    <w:qFormat/>
    <w:rPr>
      <w:rFonts w:ascii="SchoolBook" w:hAnsi="SchoolBook" w:cs="SchoolBook"/>
      <w:sz w:val="28"/>
      <w:szCs w:val="28"/>
    </w:rPr>
  </w:style>
  <w:style w:type="paragraph" w:styleId="">
    <w:name w:val="Balloon Text"/>
    <w:qFormat/>
    <w:basedOn w:val=""/>
    <w:rPr>
      <w:rFonts w:ascii="Tahoma" w:hAnsi="Tahoma"/>
      <w:sz w:val="16"/>
      <w:szCs w:val="16"/>
    </w:rPr>
  </w:style>
  <w:style w:type="paragraph" w:styleId="31" w:customStyle="1">
    <w:name w:val="Основной текст 31"/>
    <w:qFormat/>
    <w:basedOn w:val=""/>
    <w:pPr>
      <w:ind w:right="-68"/>
      <w:spacing/>
      <w:jc w:val="both"/>
      <w:suppressAutoHyphens/>
      <w:hyphenationLines w:val="0"/>
    </w:pPr>
    <w:rPr>
      <w:b/>
      <w:bCs/>
      <w:kern w:val="1"/>
      <w:sz w:val="20"/>
      <w:szCs w:val="20"/>
    </w:rPr>
  </w:style>
  <w:style w:type="character" w:styleId="" w:default="1">
    <w:name w:val="Default Paragraph Font"/>
    <w:rPr>
      <w:sz w:val="20"/>
      <w:szCs w:val="20"/>
    </w:rPr>
  </w:style>
  <w:style w:type="character" w:styleId="3" w:customStyle="1">
    <w:name w:val="Заголовок 3 Знак"/>
    <w:basedOn w:val=""/>
    <w:rPr>
      <w:rFonts w:ascii="Cambria" w:hAnsi="Cambria" w:eastAsia="Times New Roman" w:cs="Times New Roman"/>
      <w:b/>
      <w:bCs w:val="0"/>
      <w:sz w:val="26"/>
      <w:szCs w:val="26"/>
    </w:rPr>
  </w:style>
  <w:style w:type="character" w:styleId="" w:customStyle="1">
    <w:name w:val="Основной текст Знак"/>
    <w:basedOn w:val=""/>
    <w:rPr>
      <w:rFonts w:cs="Times New Roman"/>
      <w:sz w:val="24"/>
      <w:szCs w:val="24"/>
    </w:rPr>
  </w:style>
  <w:style w:type="character" w:styleId="" w:customStyle="1">
    <w:name w:val="Основной текст с отступом Знак"/>
    <w:basedOn w:val=""/>
    <w:rPr>
      <w:rFonts w:cs="Times New Roman"/>
      <w:sz w:val="24"/>
      <w:szCs w:val="24"/>
    </w:rPr>
  </w:style>
  <w:style w:type="character" w:styleId="HTML" w:customStyle="1">
    <w:name w:val="Стандартный HTML Знак"/>
    <w:basedOn w:val=""/>
    <w:rPr>
      <w:rFonts w:ascii="Courier New" w:hAnsi="Courier New" w:cs="Courier New"/>
      <w:lang w:val="ru-ru"/>
    </w:rPr>
  </w:style>
  <w:style w:type="character" w:styleId="31" w:customStyle="1">
    <w:name w:val="Знак Знак31"/>
    <w:basedOn w:val=""/>
    <w:rPr>
      <w:rFonts w:ascii="Courier New" w:hAnsi="Courier New" w:cs="Courier New"/>
      <w:lang w:val="ru-ru"/>
    </w:rPr>
  </w:style>
  <w:style w:type="character" w:styleId="32" w:customStyle="1">
    <w:name w:val="Знак Знак32"/>
    <w:basedOn w:val=""/>
    <w:rPr>
      <w:rFonts w:ascii="Courier New" w:hAnsi="Courier New" w:cs="Courier New"/>
      <w:lang w:val="ru-ru"/>
    </w:rPr>
  </w:style>
  <w:style w:type="character" w:styleId="3" w:customStyle="1">
    <w:name w:val="Основной текст 3 Знак"/>
    <w:basedOn w:val=""/>
    <w:rPr>
      <w:rFonts w:cs="Times New Roman"/>
      <w:sz w:val="16"/>
      <w:szCs w:val="16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WW8Num7z0" w:customStyle="1">
    <w:name w:val="WW8Num7z0"/>
    <w:basedOn w:val=""/>
    <w:rPr>
      <w:rFonts w:ascii="Times New Roman" w:hAnsi="Times New Roman"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3">
    <w:name w:val="heading 3"/>
    <w:qFormat/>
    <w:basedOn w:val=""/>
    <w:next w:val=""/>
    <w:pPr>
      <w:ind w:left="-567" w:right="-99" w:firstLine="1287"/>
      <w:spacing/>
      <w:jc w:val="center"/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ConsPlusNormal" w:customStyle="1">
    <w:name w:val="ConsPlusNormal"/>
    <w:qFormat/>
    <w:pPr>
      <w:ind w:firstLine="720"/>
      <w:widowControl w:val="0"/>
    </w:pPr>
    <w:rPr>
      <w:rFonts w:ascii="Arial" w:hAnsi="Arial" w:cs="Arial"/>
      <w:sz w:val="20"/>
      <w:szCs w:val="20"/>
    </w:rPr>
  </w:style>
  <w:style w:type="paragraph" w:styleId="ConsPlusNonformat" w:customStyle="1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ConsPlusTitle" w:customStyle="1">
    <w:name w:val="ConsPlusTitle"/>
    <w:qFormat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ConsPlusCell" w:customStyle="1">
    <w:name w:val="ConsPlusCell"/>
    <w:qFormat/>
    <w:pPr>
      <w:widowControl w:val="0"/>
    </w:pPr>
    <w:rPr>
      <w:rFonts w:ascii="Arial" w:hAnsi="Arial" w:cs="Arial"/>
      <w:sz w:val="20"/>
      <w:szCs w:val="20"/>
    </w:rPr>
  </w:style>
  <w:style w:type="paragraph" w:styleId="ConsPlusDocList" w:customStyle="1">
    <w:name w:val="ConsPlusDocLis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">
    <w:name w:val="Body Text"/>
    <w:qFormat/>
    <w:basedOn w:val=""/>
    <w:pPr>
      <w:spacing/>
      <w:jc w:val="both"/>
    </w:pPr>
  </w:style>
  <w:style w:type="paragraph" w:styleId="">
    <w:name w:val="Body Text Indent"/>
    <w:qFormat/>
    <w:basedOn w:val=""/>
    <w:pPr>
      <w:ind w:left="-567" w:firstLine="567"/>
      <w:spacing/>
      <w:jc w:val="both"/>
    </w:pPr>
  </w:style>
  <w:style w:type="paragraph" w:styleId="ConsNormal" w:customStyle="1">
    <w:name w:val="ConsNormal"/>
    <w:qFormat/>
    <w:pPr>
      <w:ind w:right="19772" w:firstLine="720"/>
      <w:widowControl w:val="0"/>
    </w:pPr>
    <w:rPr>
      <w:rFonts w:ascii="Arial" w:hAnsi="Arial" w:cs="Arial"/>
      <w:sz w:val="20"/>
      <w:szCs w:val="20"/>
    </w:rPr>
  </w:style>
  <w:style w:type="paragraph" w:styleId="ConsNonformat" w:customStyle="1">
    <w:name w:val="ConsNonformat"/>
    <w:qFormat/>
    <w:pPr>
      <w:ind w:right="19772"/>
      <w:widowControl w:val="0"/>
    </w:pPr>
    <w:rPr>
      <w:rFonts w:ascii="Courier New" w:hAnsi="Courier New" w:cs="Courier New"/>
      <w:sz w:val="20"/>
      <w:szCs w:val="20"/>
    </w:rPr>
  </w:style>
  <w:style w:type="paragraph" w:styleId="ConsTitle" w:customStyle="1">
    <w:name w:val="ConsTitle"/>
    <w:qFormat/>
    <w:pPr>
      <w:ind w:right="19772"/>
      <w:widowControl w:val="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qFormat/>
    <w:basedOn w:val="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">
    <w:name w:val="No Spacing"/>
    <w:qFormat/>
  </w:style>
  <w:style w:type="paragraph" w:styleId="3">
    <w:name w:val="Body Text 3"/>
    <w:qFormat/>
    <w:basedOn w:val=""/>
    <w:pPr>
      <w:spacing w:after="120"/>
    </w:pPr>
    <w:rPr>
      <w:sz w:val="16"/>
      <w:szCs w:val="16"/>
    </w:rPr>
  </w:style>
  <w:style w:type="paragraph" w:styleId="." w:customStyle="1">
    <w:name w:val="Обычный.Название подразделения"/>
    <w:qFormat/>
    <w:rPr>
      <w:rFonts w:ascii="SchoolBook" w:hAnsi="SchoolBook" w:cs="SchoolBook"/>
      <w:sz w:val="28"/>
      <w:szCs w:val="28"/>
    </w:rPr>
  </w:style>
  <w:style w:type="paragraph" w:styleId="">
    <w:name w:val="Balloon Text"/>
    <w:qFormat/>
    <w:basedOn w:val=""/>
    <w:rPr>
      <w:rFonts w:ascii="Tahoma" w:hAnsi="Tahoma"/>
      <w:sz w:val="16"/>
      <w:szCs w:val="16"/>
    </w:rPr>
  </w:style>
  <w:style w:type="paragraph" w:styleId="31" w:customStyle="1">
    <w:name w:val="Основной текст 31"/>
    <w:qFormat/>
    <w:basedOn w:val=""/>
    <w:pPr>
      <w:ind w:right="-68"/>
      <w:spacing/>
      <w:jc w:val="both"/>
      <w:suppressAutoHyphens/>
      <w:hyphenationLines w:val="0"/>
    </w:pPr>
    <w:rPr>
      <w:b/>
      <w:bCs/>
      <w:kern w:val="1"/>
      <w:sz w:val="20"/>
      <w:szCs w:val="20"/>
    </w:rPr>
  </w:style>
  <w:style w:type="character" w:styleId="" w:default="1">
    <w:name w:val="Default Paragraph Font"/>
    <w:rPr>
      <w:sz w:val="20"/>
      <w:szCs w:val="20"/>
    </w:rPr>
  </w:style>
  <w:style w:type="character" w:styleId="3" w:customStyle="1">
    <w:name w:val="Заголовок 3 Знак"/>
    <w:basedOn w:val=""/>
    <w:rPr>
      <w:rFonts w:ascii="Cambria" w:hAnsi="Cambria" w:eastAsia="Times New Roman" w:cs="Times New Roman"/>
      <w:b/>
      <w:bCs w:val="0"/>
      <w:sz w:val="26"/>
      <w:szCs w:val="26"/>
    </w:rPr>
  </w:style>
  <w:style w:type="character" w:styleId="" w:customStyle="1">
    <w:name w:val="Основной текст Знак"/>
    <w:basedOn w:val=""/>
    <w:rPr>
      <w:rFonts w:cs="Times New Roman"/>
      <w:sz w:val="24"/>
      <w:szCs w:val="24"/>
    </w:rPr>
  </w:style>
  <w:style w:type="character" w:styleId="" w:customStyle="1">
    <w:name w:val="Основной текст с отступом Знак"/>
    <w:basedOn w:val=""/>
    <w:rPr>
      <w:rFonts w:cs="Times New Roman"/>
      <w:sz w:val="24"/>
      <w:szCs w:val="24"/>
    </w:rPr>
  </w:style>
  <w:style w:type="character" w:styleId="HTML" w:customStyle="1">
    <w:name w:val="Стандартный HTML Знак"/>
    <w:basedOn w:val=""/>
    <w:rPr>
      <w:rFonts w:ascii="Courier New" w:hAnsi="Courier New" w:cs="Courier New"/>
      <w:lang w:val="ru-ru"/>
    </w:rPr>
  </w:style>
  <w:style w:type="character" w:styleId="31" w:customStyle="1">
    <w:name w:val="Знак Знак31"/>
    <w:basedOn w:val=""/>
    <w:rPr>
      <w:rFonts w:ascii="Courier New" w:hAnsi="Courier New" w:cs="Courier New"/>
      <w:lang w:val="ru-ru"/>
    </w:rPr>
  </w:style>
  <w:style w:type="character" w:styleId="32" w:customStyle="1">
    <w:name w:val="Знак Знак32"/>
    <w:basedOn w:val=""/>
    <w:rPr>
      <w:rFonts w:ascii="Courier New" w:hAnsi="Courier New" w:cs="Courier New"/>
      <w:lang w:val="ru-ru"/>
    </w:rPr>
  </w:style>
  <w:style w:type="character" w:styleId="3" w:customStyle="1">
    <w:name w:val="Основной текст 3 Знак"/>
    <w:basedOn w:val=""/>
    <w:rPr>
      <w:rFonts w:cs="Times New Roman"/>
      <w:sz w:val="16"/>
      <w:szCs w:val="16"/>
    </w:rPr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  <w:style w:type="character" w:styleId="WW8Num7z0" w:customStyle="1">
    <w:name w:val="WW8Num7z0"/>
    <w:basedOn w:val="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ConsultantPlus</dc:creator>
  <cp:keywords/>
  <dc:description/>
  <cp:lastModifiedBy/>
  <cp:revision>8</cp:revision>
  <cp:lastPrinted>2011-10-31T04:44:00Z</cp:lastPrinted>
  <dcterms:created xsi:type="dcterms:W3CDTF">2011-09-26T08:24:00Z</dcterms:created>
  <dcterms:modified xsi:type="dcterms:W3CDTF">2018-02-28T17:48:05Z</dcterms:modified>
</cp:coreProperties>
</file>