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72756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7275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"Использование индивидуальных систем на основе полиморфизма длины амплифицированных фрагментов (ПДАФ) ДНК в судебно-медицинской экспертизе идентификаци</w:t>
            </w:r>
            <w:r>
              <w:rPr>
                <w:sz w:val="48"/>
                <w:szCs w:val="48"/>
              </w:rPr>
              <w:t>и личности и установления родства. Методические указания N 98/253"</w:t>
            </w:r>
            <w:r>
              <w:rPr>
                <w:sz w:val="48"/>
                <w:szCs w:val="48"/>
              </w:rPr>
              <w:br/>
              <w:t>(утв. Минздравом России 19.01.1999)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7275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172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72756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000000" w:rsidRDefault="00172756">
      <w:pPr>
        <w:pStyle w:val="ConsPlusNormal"/>
        <w:jc w:val="right"/>
      </w:pPr>
      <w:r>
        <w:t>Утверждаю</w:t>
      </w:r>
    </w:p>
    <w:p w:rsidR="00000000" w:rsidRDefault="00172756">
      <w:pPr>
        <w:pStyle w:val="ConsPlusNormal"/>
        <w:jc w:val="right"/>
      </w:pPr>
      <w:r>
        <w:t>Заместитель Министра</w:t>
      </w:r>
    </w:p>
    <w:p w:rsidR="00000000" w:rsidRDefault="00172756">
      <w:pPr>
        <w:pStyle w:val="ConsPlusNormal"/>
        <w:jc w:val="right"/>
      </w:pPr>
      <w:r>
        <w:t>здравоохранения</w:t>
      </w:r>
    </w:p>
    <w:p w:rsidR="00000000" w:rsidRDefault="00172756">
      <w:pPr>
        <w:pStyle w:val="ConsPlusNormal"/>
        <w:jc w:val="right"/>
      </w:pPr>
      <w:r>
        <w:t>Российской Федерации</w:t>
      </w:r>
    </w:p>
    <w:p w:rsidR="00000000" w:rsidRDefault="00172756">
      <w:pPr>
        <w:pStyle w:val="ConsPlusNormal"/>
        <w:jc w:val="right"/>
      </w:pPr>
      <w:r>
        <w:t>А.И.ВЯЛКОВ</w:t>
      </w:r>
    </w:p>
    <w:p w:rsidR="00000000" w:rsidRDefault="00172756">
      <w:pPr>
        <w:pStyle w:val="ConsPlusNormal"/>
        <w:jc w:val="right"/>
      </w:pPr>
      <w:r>
        <w:t>19 января 1999 года</w:t>
      </w:r>
    </w:p>
    <w:p w:rsidR="00000000" w:rsidRDefault="00172756">
      <w:pPr>
        <w:pStyle w:val="ConsPlusNormal"/>
        <w:jc w:val="right"/>
      </w:pPr>
    </w:p>
    <w:p w:rsidR="00000000" w:rsidRDefault="00172756">
      <w:pPr>
        <w:pStyle w:val="ConsPlusNormal"/>
        <w:jc w:val="right"/>
      </w:pPr>
      <w:r>
        <w:t>Согласовано</w:t>
      </w:r>
    </w:p>
    <w:p w:rsidR="00000000" w:rsidRDefault="00172756">
      <w:pPr>
        <w:pStyle w:val="ConsPlusNormal"/>
        <w:jc w:val="right"/>
      </w:pPr>
      <w:r>
        <w:t>Руководитель Департамента</w:t>
      </w:r>
    </w:p>
    <w:p w:rsidR="00000000" w:rsidRDefault="00172756">
      <w:pPr>
        <w:pStyle w:val="ConsPlusNormal"/>
        <w:jc w:val="right"/>
      </w:pPr>
      <w:r>
        <w:t>научно-исследовательских</w:t>
      </w:r>
    </w:p>
    <w:p w:rsidR="00000000" w:rsidRDefault="00172756">
      <w:pPr>
        <w:pStyle w:val="ConsPlusNormal"/>
        <w:jc w:val="right"/>
      </w:pPr>
      <w:r>
        <w:t>и образовательных</w:t>
      </w:r>
    </w:p>
    <w:p w:rsidR="00000000" w:rsidRDefault="00172756">
      <w:pPr>
        <w:pStyle w:val="ConsPlusNormal"/>
        <w:jc w:val="right"/>
      </w:pPr>
      <w:r>
        <w:t>медицинских учреждений</w:t>
      </w:r>
    </w:p>
    <w:p w:rsidR="00000000" w:rsidRDefault="00172756">
      <w:pPr>
        <w:pStyle w:val="ConsPlusNormal"/>
        <w:jc w:val="right"/>
      </w:pPr>
      <w:r>
        <w:t>В.И.СЕРГИЕНКО</w:t>
      </w:r>
    </w:p>
    <w:p w:rsidR="00000000" w:rsidRDefault="00172756">
      <w:pPr>
        <w:pStyle w:val="ConsPlusNormal"/>
        <w:jc w:val="right"/>
      </w:pPr>
      <w:r>
        <w:t>18 января 1999 года</w:t>
      </w:r>
    </w:p>
    <w:p w:rsidR="00000000" w:rsidRDefault="00172756">
      <w:pPr>
        <w:pStyle w:val="ConsPlusNormal"/>
        <w:jc w:val="right"/>
      </w:pPr>
    </w:p>
    <w:p w:rsidR="00000000" w:rsidRDefault="00172756">
      <w:pPr>
        <w:pStyle w:val="ConsPlusNormal"/>
        <w:jc w:val="right"/>
      </w:pPr>
      <w:r>
        <w:t>Руководитель Департамента</w:t>
      </w:r>
    </w:p>
    <w:p w:rsidR="00000000" w:rsidRDefault="00172756">
      <w:pPr>
        <w:pStyle w:val="ConsPlusNormal"/>
        <w:jc w:val="right"/>
      </w:pPr>
      <w:r>
        <w:t>организации медицинско</w:t>
      </w:r>
      <w:r>
        <w:t>й</w:t>
      </w:r>
    </w:p>
    <w:p w:rsidR="00000000" w:rsidRDefault="00172756">
      <w:pPr>
        <w:pStyle w:val="ConsPlusNormal"/>
        <w:jc w:val="right"/>
      </w:pPr>
      <w:r>
        <w:t>помощи населению</w:t>
      </w:r>
    </w:p>
    <w:p w:rsidR="00000000" w:rsidRDefault="00172756">
      <w:pPr>
        <w:pStyle w:val="ConsPlusNormal"/>
        <w:jc w:val="right"/>
      </w:pPr>
      <w:r>
        <w:t>А.А.КАРПЕЕВ</w:t>
      </w:r>
    </w:p>
    <w:p w:rsidR="00000000" w:rsidRDefault="00172756">
      <w:pPr>
        <w:pStyle w:val="ConsPlusNormal"/>
        <w:jc w:val="right"/>
      </w:pPr>
      <w:r>
        <w:t>11 января 1999 года</w:t>
      </w:r>
    </w:p>
    <w:p w:rsidR="00000000" w:rsidRDefault="00172756">
      <w:pPr>
        <w:pStyle w:val="ConsPlusNormal"/>
        <w:jc w:val="right"/>
      </w:pPr>
    </w:p>
    <w:p w:rsidR="00000000" w:rsidRDefault="00172756">
      <w:pPr>
        <w:pStyle w:val="ConsPlusTitle"/>
        <w:jc w:val="center"/>
      </w:pPr>
      <w:r>
        <w:t>ИСПОЛЬЗОВАНИЕ ИНДИВИДУАЛЬНЫХ СИСТЕМ НА ОСНОВЕ</w:t>
      </w:r>
    </w:p>
    <w:p w:rsidR="00000000" w:rsidRDefault="00172756">
      <w:pPr>
        <w:pStyle w:val="ConsPlusTitle"/>
        <w:jc w:val="center"/>
      </w:pPr>
      <w:r>
        <w:t>ПОЛИМОРФИЗМА ДЛИНЫ АМПЛИФИЦИРОВАННЫХ ФРАГМЕНТОВ (ПДАФ) ДНК</w:t>
      </w:r>
    </w:p>
    <w:p w:rsidR="00000000" w:rsidRDefault="00172756">
      <w:pPr>
        <w:pStyle w:val="ConsPlusTitle"/>
        <w:jc w:val="center"/>
      </w:pPr>
      <w:r>
        <w:t>В СУДЕБНО-МЕДИЦИНСКОЙ ЭКСПЕРТИЗЕ ИДЕНТИФИКАЦИИ ЛИЧНОСТИ</w:t>
      </w:r>
    </w:p>
    <w:p w:rsidR="00000000" w:rsidRDefault="00172756">
      <w:pPr>
        <w:pStyle w:val="ConsPlusTitle"/>
        <w:jc w:val="center"/>
      </w:pPr>
      <w:r>
        <w:t>И УСТАНОВЛЕНИЯ РОДСТВА</w:t>
      </w:r>
    </w:p>
    <w:p w:rsidR="00000000" w:rsidRDefault="00172756">
      <w:pPr>
        <w:pStyle w:val="ConsPlusTitle"/>
        <w:jc w:val="center"/>
      </w:pPr>
    </w:p>
    <w:p w:rsidR="00000000" w:rsidRDefault="00172756">
      <w:pPr>
        <w:pStyle w:val="ConsPlusTitle"/>
        <w:jc w:val="center"/>
      </w:pPr>
      <w:r>
        <w:t>МЕТОДИЧЕСКИЕ УКАЗАНИЯ</w:t>
      </w:r>
    </w:p>
    <w:p w:rsidR="00000000" w:rsidRDefault="00172756">
      <w:pPr>
        <w:pStyle w:val="ConsPlusTitle"/>
        <w:jc w:val="center"/>
      </w:pPr>
      <w:r>
        <w:t>N 98/253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Normal"/>
        <w:ind w:firstLine="540"/>
        <w:jc w:val="both"/>
      </w:pPr>
      <w:r>
        <w:t>Методические указания посвящены регламентированию в рамках экспертного подхода методических и аналитических процедур, сопряженных с анализом полиморфизма длины амплифицированных фрагментов (ПДАФ) в аллельных профилях гиперва</w:t>
      </w:r>
      <w:r>
        <w:t>риабельных локусов хромосомной ДНК человека, а также общей методологии использования индивидуализирующих ПДАФ-систем при решении задач судебно-медицинской экспертизы. Обобщен и проанализирован накопленный практический опыт, касающийся производства судебно-</w:t>
      </w:r>
      <w:r>
        <w:t>медицинской экспертизы (исследования) вещественных доказательств с помощью применения методов молекулярно-генетической индивидуализации человека, и в частности - методов идентификации личности и определения биологического родства, основанных на использован</w:t>
      </w:r>
      <w:r>
        <w:t>ии феномена ПДАФ.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Настоящие Методические указания касаются общих принципов экспертного использования молекулярно-генетических индивидуализирующих систем на основе феномена ПДАФ. Для более детальной проработки конкретных вопросов практического применения ме</w:t>
      </w:r>
      <w:r>
        <w:t>тода следует обратиться к другим нормативным, инструктивным и методическим документам, регламентирующим производство экспертиз в Российской Федерации, в частности, к "Правилам производства судебно-медицинской экспертизы (исследования) вещественных доказате</w:t>
      </w:r>
      <w:r>
        <w:t>льств с помощью применения методов молекулярно-генетической индивидуализации человека" (РЦСМЭ МЗ РФ, 1998), "Стандартным операционным процедурам" (РЦСМЭ МЗ РФ, 1998) и др.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 xml:space="preserve">Методические указания подготовлены зав. отделом судебно-медицинских генетических </w:t>
      </w:r>
      <w:r>
        <w:lastRenderedPageBreak/>
        <w:t>нау</w:t>
      </w:r>
      <w:r>
        <w:t>чных и экспертных исследований Республиканского центра судебно-медицинской экспертизы доктором биологических наук Ивановым П.Л.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Title"/>
        <w:jc w:val="center"/>
        <w:outlineLvl w:val="0"/>
      </w:pPr>
      <w:r>
        <w:t>Введение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Normal"/>
        <w:ind w:firstLine="540"/>
        <w:jc w:val="both"/>
      </w:pPr>
      <w:r>
        <w:t>Существует несколько базовых технологий молекулярно-генетического (геномного) идентификационного анализа, применяемых</w:t>
      </w:r>
      <w:r>
        <w:t xml:space="preserve"> в судебно-медицинской экспертной практике. Общим для них является исследование особых, так называемых гипервариабельных участков геномной ДНК человека, которые строго специфичны для каждого индивидуума и потому могут служить индивидуализирующими личность </w:t>
      </w:r>
      <w:r>
        <w:t>признаками.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Вариант молекулярно-генетического идентификационного анализа, в основе которого лежит феномен полиморфизма длины амплифицированных фрагментов (ПДАФ) ДНК, является одним из наиболее перспективных в плане судебно-медицинского исследования веществ</w:t>
      </w:r>
      <w:r>
        <w:t>енных доказательств. Он отличается высокой дифференцирующей способностью - благодаря использованию в качестве маркерных (диагностических) элементов высокополиморфных генетических локусов мини- и микросателлитной природы, а также чрезвычайно высокой чувстви</w:t>
      </w:r>
      <w:r>
        <w:t>тельностью - благодаря применению процесса энзиматической амплификации молекул ДНК, известному как полимеразная цепная реакция (ПЦР).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Феномен ПДАФ проявляется в том, что в случае ПЦР-амплификации гипервариабельных мини- и микросателлитных генетических матр</w:t>
      </w:r>
      <w:r>
        <w:t xml:space="preserve">иц (локусов), присутствующих в геноме каждого человека, в ходе реакции образуются фрагменты ДНК, которые у разных людей имеют разную длину - и потому оказываются индивидуально специфичными. Эти полиморфные по длине фрагменты, по сути представляющие разные </w:t>
      </w:r>
      <w:r>
        <w:t>аллельные варианты полиморфных локусов геномной ДНК, становятся доступными для сравнительного анализа в качестве индивидуализирующих личность признаков. Важно отметить, что в ряду поколений каждый вариант ПДАФ наследуется как простой менделевский кодоминан</w:t>
      </w:r>
      <w:r>
        <w:t>тный признак. Все это создает прекрасные предпосылки для решения экспертных задач, связанных как с индивидуализацией и идентификацией, так и с установлением биологических родственных связей данного индивидуума с другими лицами (например, установление факто</w:t>
      </w:r>
      <w:r>
        <w:t>в отцовства или материнства).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ПДАФ-типирование ДНК является одним из наиболее доказательных методов анализа биологического материала при производстве судебно-медицинской идентификационной экспертизы. В то же время, следует подчеркнуть, что экспертные иссле</w:t>
      </w:r>
      <w:r>
        <w:t>дования биологических объектов с использованием индивидуализирующих систем ПДАФ-типа предъявляют очень высокие требования как к техническому обеспечению анализа, так и к степени корректности экспериментальных процедур и интерпретационных построений. Наряду</w:t>
      </w:r>
      <w:r>
        <w:t xml:space="preserve"> с бесспорными преимуществами по сравнению с традиционными методами, экспертное применение анализа ПДАФ в судебно-медицинской практике сопряжено с целым рядом осложняющих моментов. Технология анализа включает многостадийные операции и многопараметрические </w:t>
      </w:r>
      <w:r>
        <w:t>процессы, которые таят в себе опасность различного рода артефактов. Интерпретация получаемых в ходе исследования данных часто достаточно сложна и требует детального анализа с позиции молекулярной биологии и популяционной генетики. Учитывая же характерное д</w:t>
      </w:r>
      <w:r>
        <w:t>ля данного вида экспертизы высокое доказательственное значение выводов, возможная неадекватность экспериментальных процедур и неправильное истолкование результата чреваты серьезными экспертными и, как результат, судебно-следственными ошибками.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Из всего ска</w:t>
      </w:r>
      <w:r>
        <w:t>занного очевидно, что для обеспечения надлежащего уровня надежности и доказательности необходима строгая методическая регламентация судебно-медицинских экспертиз вещественных доказательств, проводимых с помощью применения методов молекулярно-</w:t>
      </w:r>
      <w:r>
        <w:lastRenderedPageBreak/>
        <w:t>генетической и</w:t>
      </w:r>
      <w:r>
        <w:t>ндивидуализации человека. В рамках этой задачи в настоящих Методических указаниях изложены общие принципы экспертного использования молекулярно-генетических индивидуализирующих систем на основе феномена ПДАФ для целей идентификации личности и разрешения во</w:t>
      </w:r>
      <w:r>
        <w:t>просов спорного происхождения детей. Рассмотрены принципиальные вопросы, касающиеся специфики лабораторных процедур и интерпретации экспертных данных, а также методические приемы, призванные повысить надежность анализа.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Title"/>
        <w:jc w:val="center"/>
        <w:outlineLvl w:val="0"/>
      </w:pPr>
      <w:r>
        <w:t>Описание метода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Title"/>
        <w:jc w:val="center"/>
        <w:outlineLvl w:val="1"/>
      </w:pPr>
      <w:r>
        <w:t>1. Формула метода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Normal"/>
        <w:ind w:firstLine="540"/>
        <w:jc w:val="both"/>
      </w:pPr>
      <w:r>
        <w:t>Предложен метод судебно-медицинской экспертизы (исследования) вещественных доказательств биологической природы, основанный на молекулярно-генетической индивидуализации человека. Принцип метода заключается в использовании индивидуализирующих систем на осно</w:t>
      </w:r>
      <w:r>
        <w:t>ве полиморфизма длины амплифицированных фрагментов (ПДАФ) хромосомной ДНК.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 xml:space="preserve">В общем виде метод предусматривает выделение из исследуемых объектов хромосомной ДНК, энзиматическую амплификацию с помощью ПЦР мини- и микросателлитных локусов этой ДНК, которые в </w:t>
      </w:r>
      <w:r>
        <w:t xml:space="preserve">силу своей природы обладают свойством индивидуальной специфичности, и сопоставление полученных индивидуальных картин распределения по длине амплифицированных фрагментов ДНК (так называемых амплификационных профилей) с целью их отождествления или выявления </w:t>
      </w:r>
      <w:r>
        <w:t>сходства и различий и установления на этом основании определенных фактов в плане судебно-медицинской идентификации личности и определения биологического родства.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Title"/>
        <w:jc w:val="center"/>
        <w:outlineLvl w:val="1"/>
      </w:pPr>
      <w:r>
        <w:t>2. Материально-техническое обеспечение метода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Title"/>
        <w:jc w:val="center"/>
        <w:outlineLvl w:val="2"/>
      </w:pPr>
      <w:r>
        <w:t>2.1. Требования к помещениям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Normal"/>
        <w:ind w:firstLine="540"/>
        <w:jc w:val="both"/>
      </w:pPr>
      <w:r>
        <w:t>Судебно-медицинс</w:t>
      </w:r>
      <w:r>
        <w:t>кая экспертиза вещественных доказательств с помощью применения индивидуализирующих систем ПДАФ-типа должна проводиться только в специализированной лаборатории бюро судебно-медицинской экспертизы, удовлетворяющей требованиям "Положения о лаборатории молекул</w:t>
      </w:r>
      <w:r>
        <w:t>ярно-генетических исследований бюро судебно-медицинской экспертизы" (приложение к Приказу Минздрава РФ N 131 от 22.04.98 "О мерах по совершенствованию судебно-медицинской службы в Российской Федерации").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Главным требованием является обеспечение и строгое с</w:t>
      </w:r>
      <w:r>
        <w:t>облюдение принципа компартментализации основных стадий производственного процесса. Это означает, что в лаборатории должны быть выделены территориально автономные операционные зоны (компартменты), каждая из которых предназначена для выполнения строго опреде</w:t>
      </w:r>
      <w:r>
        <w:t>ленного круга операций. Каждая зона должна быть укомплектована спецодеждой, лабораторным и офисным оборудованием, посудой, которые предназначены для использования только в границах данной зоны. Таких зон минимум три: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а) лабораторная зона общего назначения:</w:t>
      </w:r>
      <w:r>
        <w:t xml:space="preserve"> помещения для хранения и препарирования вещественных доказательств, забора крови, выделения и очистки ДНК, мойки и стерилизации посуды; к этой зоне относятся кабинеты экспертов, лаборантские и санитарские помещения, компьютерный зал для обработки данных и</w:t>
      </w:r>
      <w:r>
        <w:t xml:space="preserve"> оформления документов, аппаратные;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 xml:space="preserve">б) чистая зона ПЦР: стерильные, оборудованные УФ-облучателями боксированные помещения с приточно-нагнетательной вентиляцией - для приготовления реагентов, компонентов </w:t>
      </w:r>
      <w:r>
        <w:lastRenderedPageBreak/>
        <w:t xml:space="preserve">реакционных смесей, для пробоподготовки и постановки </w:t>
      </w:r>
      <w:r>
        <w:t>ПЦР;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в) зона для анализа продуктов амплификации: оборудованные УФ-облучателями боксированные помещения с вытяжной вентиляцией - для проведения электрофореза ДНК, окрашивания гелей и документирования электрофореграмм.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 xml:space="preserve">Компартментализация рабочего процесса, </w:t>
      </w:r>
      <w:r>
        <w:t>связанного с применением ПЦР, служит абсолютно необходимой мерой предосторожности, которая позволяет свести к минимуму риск случайных загрязнений компонентов реакции ранее амплифицированными продуктами или молекулами ДНК из посторонних источников. Способно</w:t>
      </w:r>
      <w:r>
        <w:t>сть ПЦР амплифицировать единичные молекулы ДНК означает, что опасность представляют даже самые незначительные, следовые количества ДНК-контаминантов, которые могут вовлекаться в реакцию как матричные молекулы. Это приводит к искажению результатов исследова</w:t>
      </w:r>
      <w:r>
        <w:t>ния.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Title"/>
        <w:jc w:val="center"/>
        <w:outlineLvl w:val="2"/>
      </w:pPr>
      <w:r>
        <w:t>2.2. Необходимое оборудование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Normal"/>
        <w:ind w:firstLine="540"/>
        <w:jc w:val="both"/>
      </w:pPr>
      <w:r>
        <w:t>В соответствии с процедурой метода на первом этапе осуществляется выделение из исследуемых объектов геномной ДНК, ее очистка, определение концентрации и хранение. Для этого необходимо типовое лабораторное оборудование д</w:t>
      </w:r>
      <w:r>
        <w:t>ля молекулярной биологии (в том числе: вытяжной шкаф, мини- и микроцентрифуга, суховоздушный и водяной термостаты, рн-метр, аквадистиллятор-деионизатор, спектрофотометр, аналитические весы, микропипетки-дозаторы, лабораторная посуда, холодильник/морозильни</w:t>
      </w:r>
      <w:r>
        <w:t>к).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Постановка ПЦР требует наличия стерильного шкафа-бокса с ультрафиолетовым облучателем, а также термоциклера (ДНК-амплификатора). Эти позиции выпускаются серийно отечественными и зарубежными производителями.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На этапе электрофоретического фракционировани</w:t>
      </w:r>
      <w:r>
        <w:t>я ДНК необходимы стандартные аппараты для электрофореза в гелях агарозы и полиакриламида (соответственно, горизонтальные и вертикальные), микроволновая печь, стандартные источники тока для электрофореза - низковольтный (300 в/250 mA) и высоковольтный (1000</w:t>
      </w:r>
      <w:r>
        <w:t xml:space="preserve"> в/300 mA), УФ-трансиллюминатор, снабженный системой документирования изображения (напр. фото- или видеокамерой) или/и прибор для вакуумной сушки гелей.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 xml:space="preserve">Для анализа результатов исследования и обработки экспертных данных требуется набор стандартной офисной </w:t>
      </w:r>
      <w:r>
        <w:t>оргтехники (компьютер с периферийными устройствами: принтер, сканер и проч.).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Title"/>
        <w:jc w:val="center"/>
        <w:outlineLvl w:val="1"/>
      </w:pPr>
      <w:r>
        <w:t>3. Технология использования метода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Normal"/>
        <w:ind w:firstLine="540"/>
        <w:jc w:val="both"/>
      </w:pPr>
      <w:r>
        <w:t>Технологическая схема выполнения экспертизы вещественных доказательств с использованием ПДАФ-систем включает следующие этапы: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а) получение препаратов хромосомной ДНК из объектов исследования;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б) энзиматическая ПЦР-амплификация на матрице этой ДНК специфических участков, обладающих свойством ПДАФ с целью их последующего генотипирования (определения геномных вариантов);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в) фрагмент</w:t>
      </w:r>
      <w:r>
        <w:t xml:space="preserve">ный анализ: фракционирование с помощью гель-электрофореза продуктов амплификации, сопоставление амплификационных профилей, определение молекулярных размеров </w:t>
      </w:r>
      <w:r>
        <w:lastRenderedPageBreak/>
        <w:t>фрагментов и их генотипирование;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г) интерпретация результатов: раздельная оценка выявленных геномны</w:t>
      </w:r>
      <w:r>
        <w:t>х признаков и определение их индивидуализирующего значения, сопоставление и оценка различия и совпадения комплекса признаков, анализ всей совокупности экспертных данных с целью разрешения вопросов, поставленных перед экспертизой.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Title"/>
        <w:jc w:val="center"/>
        <w:outlineLvl w:val="2"/>
      </w:pPr>
      <w:r>
        <w:t>3.1. Получение препаратов</w:t>
      </w:r>
      <w:r>
        <w:t xml:space="preserve"> ДНК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Normal"/>
        <w:ind w:firstLine="540"/>
        <w:jc w:val="both"/>
      </w:pPr>
      <w:r>
        <w:t xml:space="preserve">Предметом судебно-медицинских молекулярно-генетических экспертных исследований являются следы и иные вещественные доказательства по делу - объекты биологического происхождения от трупов и живых лиц. Хромосомная ДНК содержится во всех ядерных клетках </w:t>
      </w:r>
      <w:r>
        <w:t>организма, поэтому для экспертного исследования в принципе пригодны любые биологические субстраты, в которых сохранились хотя бы единичные ядерные клетки или остатки их ядерного материала: мягкие ткани, жидкая кровь и выделения, высохшие следы крови и выде</w:t>
      </w:r>
      <w:r>
        <w:t>лений, зубы и волосы человека, отчлененные части тела и фрагменты частей тела от неопознанных и расчлененных трупов, фрагменты скелетированных трупов, отдельные кости, костные фрагменты и др. При этом важно подчеркнуть, что во всех клетках одного организма</w:t>
      </w:r>
      <w:r>
        <w:t xml:space="preserve"> ДНК одинакова. Это позволяет проводить отождествление объектов на основании сравнительного ПДАФ-анализа биологических образцов разного тканевого происхождения.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С точки зрения экспертного использования, среди множества известных методик выделения и очистки</w:t>
      </w:r>
      <w:r>
        <w:t xml:space="preserve"> ДНК наибольшее значение имеет классическая фенол-хлороформная экстракция, которая универсальна, обладает хорошей воспроизводимостью и способна обеспечить высокую степень чистоты ДНК; полученные этим методом препараты стабильны и могут храниться при +4 °С </w:t>
      </w:r>
      <w:r>
        <w:t>в течение нескольких лет. Поэтому методикам выделения ДНК, основанным на органической экстракции, следует отдать предпочтение.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В общем случае, это многоэтапные процедуры, которые предусматривают разрушение (лизис) клеточных структур и диссоциацию хромосомн</w:t>
      </w:r>
      <w:r>
        <w:t>ых нуклеопротеидных комплексов с помощью применения детергентов, протеазную обработку лизата, экстрагирование белков органическими растворителями, отделение водной фазы, содержащей ДНК, и концентрирование и очистку ДНК путем спиртовой преципитации или ульт</w:t>
      </w:r>
      <w:r>
        <w:t>рамикрофильтрации.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Существуют также методики, которые без применения органических растворителей позволяют получать пригодные для анализа в ПЦР препараты ДНК. Большинство из них являются вариантами вышеприведенной схемы, но позволяют экономить время и не пр</w:t>
      </w:r>
      <w:r>
        <w:t>ибегать к трудоемкой процедуре фенольной экстракции. Однако эти процедуры применимы лишь для некоторых видов объектов. Наиболее распространенным универсальным неорганическим методом, пригодным для экспертного применения, является метод с использованием хел</w:t>
      </w:r>
      <w:r>
        <w:t>атирующего реагента "Килекс" (Chelex(R) 100). Это экспресс-метод, который вообще не предполагает выделения ДНК в очищенном виде; получаемый препарат по сути представляет клеточный лизат, который содержит все исходные компоненты, только в инактивированной ф</w:t>
      </w:r>
      <w:r>
        <w:t>орме. Этот метод прост и не требует много времени. Нужно однако учитывать, что его надежность, а также качество и стабильность "килексных" препаратов в целом заметно ниже, чем фенол-хлороформных экстрактов.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Очень важный в экспертной практике частный случай</w:t>
      </w:r>
      <w:r>
        <w:t xml:space="preserve"> - это получение ДНК из спермы и смешанных следов, содержащих сперму. Особенность здесь в том, что хроматин сперматозоидов имеет принципиальное отличие от хроматина соматических клеток - его структура дополнительно стабилизирована дисульфидными связями. По</w:t>
      </w:r>
      <w:r>
        <w:t xml:space="preserve">этому применяемый по стандартной процедуре выделения ДНК протеолиз в случае спермального хроматина малоэффективен и идет очень </w:t>
      </w:r>
      <w:r>
        <w:lastRenderedPageBreak/>
        <w:t xml:space="preserve">медленно, а используемые для диссоциации нуклеопротеинов детергенты практически не оказывают на него солюбилизирующего действия. </w:t>
      </w:r>
      <w:r>
        <w:t xml:space="preserve">В результате выход спермальной ДНК оказывается практически нулевым. Для преодоления этой трудности при выделении ДНК из спермы в клеточный лизат вводят дополнительно реагенты-тиовосстановители, например дитиотрейтол или 2-меркаптоэтанол, которые разрушают </w:t>
      </w:r>
      <w:r>
        <w:t>дисульфидные белковые сшивки. Это позволяет продолжить процесс по стандартной схеме.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 xml:space="preserve">На использовании описанной особенности спермального хроматина основан общепринятый метод селективного выделения ДНК сперматозоидов из смешанных следов, содержащих сперму. </w:t>
      </w:r>
      <w:r>
        <w:t>Это двухэтапная процедура, получившая название дифференциального лизиса клеток. Суть ее заключается в том, что при выделении ДНК из смеси сперматозоидов и соматических клеток на первом этапе, представляющем собой стандартный протеазно-детергентный лизис, с</w:t>
      </w:r>
      <w:r>
        <w:t>олюбилизируется только хроматин соматических клеток. Его раствор отделяют центрифугированием от остающегося структурированным (и потому нерастворимым) спермального хроматина и используют для экстрагирования соматической ДНК. Отделенный же спермальный хрома</w:t>
      </w:r>
      <w:r>
        <w:t>тин подвергают второму литическому циклу, но уже с добавлением реагентов-тиовосстановителей, и уже потом из получившегося лизата экстрагируют спермальную ДНК.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Следует особо подчеркнуть, что при проведении судебно-медицинского исследования следов, содержащи</w:t>
      </w:r>
      <w:r>
        <w:t>х сперму, для дифференцирования присутствующих в смеси генетического материала мужчины - донора спермы и ДНК из других возможных источников (например, эпителиальных клеток и клеток крови потерпевших при изнасиловании), в обязательном порядке должны применя</w:t>
      </w:r>
      <w:r>
        <w:t>ться только такие методики, которые включают двухэтапный дифференциальный лизис клеток с использованием на втором этапе реагентов-тиовосстановителей.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Типовые варианты методик получения препаратов ДНК из объектов экспертизы - как с использованием органическ</w:t>
      </w:r>
      <w:r>
        <w:t>ой экстракции, так и в виде "килексных" лизатов, приведены в сборнике "Стандартные операционные процедуры" (РЦСМЭ МЗ РФ, 1998 г.).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Title"/>
        <w:jc w:val="center"/>
        <w:outlineLvl w:val="2"/>
      </w:pPr>
      <w:r>
        <w:t>3.2. ПЦР-амплификация полиморфных локусов</w:t>
      </w:r>
    </w:p>
    <w:p w:rsidR="00000000" w:rsidRDefault="00172756">
      <w:pPr>
        <w:pStyle w:val="ConsPlusTitle"/>
        <w:jc w:val="center"/>
      </w:pPr>
      <w:r>
        <w:t>на матрице геномной ДНК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Normal"/>
        <w:ind w:firstLine="540"/>
        <w:jc w:val="both"/>
      </w:pPr>
      <w:r>
        <w:t xml:space="preserve">При постановке ПЦР геномную ДНК, обычно в количестве 2 - </w:t>
      </w:r>
      <w:r>
        <w:t>200 нг, вводят в реакционную смесь, содержащую все необходимые компоненты для работы фермента - термостабильной ДНК-полимеразы (обычно Taq полимеразы в количестве 1 - 3 е.а.). Там хромосомная ДНК будет служить субстратом-матрицей для амплификации нужного л</w:t>
      </w:r>
      <w:r>
        <w:t>окуса. Специфическим компонентом реакции и амплификационной индивидуализирующей системы в целом являются олигонуклеотидные (15 - 30 звеньев) праймеры - именно они определяют, какой генетический локус будет избирательно нарабатываться в ходе реакции. Прайме</w:t>
      </w:r>
      <w:r>
        <w:t>ры ориентированы таким образом, что синтез новых полинуклеотидных цепей с помощью ДНК-полимеразы осуществляется только между ними, удваивая в каждом цикле количество копий этого участка ДНК. Для проведения полимеразной цепной реакции, кроме исходного препа</w:t>
      </w:r>
      <w:r>
        <w:t>рата ДНК, праймеров (в концентрации 0,1 - 1 мкМ), Taq полимеразы, нужны еще так называемые предшественники ДНК - дезоксирибонуклеозидтрифосфаты (дезоксинуклеотиды) в концентрации 200 мкМ и солевой буферный раствор. Эти компоненты смешивают в реакционной пр</w:t>
      </w:r>
      <w:r>
        <w:t>обирке в микрообъеме (обычно 25 - 100 мкл) и помещают в специальный прибор - программируемый термоциклер (ДНК-амплификатор), который обеспечивает необходимый температурный профиль реакции: она претерпевает 25 - 35 циклов нагрева и охлаждения в интервале те</w:t>
      </w:r>
      <w:r>
        <w:t>мператур от 50 до 95 °С.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Параметры температурного профиля - продолжительность и т</w:t>
      </w:r>
      <w:r>
        <w:t xml:space="preserve">емпература каждой стадии полимеразной реакции зависят от структуры используемых праймеров и потому индивидуальны </w:t>
      </w:r>
      <w:r>
        <w:lastRenderedPageBreak/>
        <w:t>для каждой конкретной амплификационной индивидуализирующей системы.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Весь процесс длится несколько часов. За время процесса интересующие последо</w:t>
      </w:r>
      <w:r>
        <w:t>вательности ДНК, присутствующие в исходной геномной матрице, многократно (миллионократно) копируются ферментом Taq полимеразой, и эти молекулярные копии накапливаются в реакционной смеси.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Амплифицируемые в ходе ПЦР мини- и микросателлитные участки (локусы)</w:t>
      </w:r>
      <w:r>
        <w:t xml:space="preserve"> ДНК - это относительно короткие нуклеотидные последовательности, организованные в виде блоков тандемных повторов. Высокий уровень вариабельности (феномен гиперполиморфизма) микро- и минисателлитов основан на том, что число тандемных повторов, соединенных </w:t>
      </w:r>
      <w:r>
        <w:t>"голова к хвосту" в единую последовательность ДНК непостоянно и варьируется в разных аллелях данного локуса от одного до нескольких десятков. Таким образом, для данного локуса в популяции обнаруживается целый набор аллелей (феномен мультиаллельности), отли</w:t>
      </w:r>
      <w:r>
        <w:t>чающихся друг от друга по числу повторяющихся единиц. У каждого индивидуума в популяции имеется из этого набора по 2 аллеля, и они могут быть равной или разной длины (соответственно гомозиготное и гетерозиготное состояния). Такого рода генетические элемент</w:t>
      </w:r>
      <w:r>
        <w:t>ы получили название локусов с варьирующимся числом тандемных повторов или просто тандемных повторов с переменным числом звеньев.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В методическом плане важно отметить, что класс тандемных полиморфных локусов условно разбит на два подкласса: минисателлитов ил</w:t>
      </w:r>
      <w:r>
        <w:t>и VNTR (англ. - Variable Number Tandem Repeat) - с длиной повтора более семи пар нуклеотидов и микросателлитов, у которых длина повторяющейся единицы составляет от одного до семи пар нуклеотидов и которые еще называют короткими тандемными повторами или STR</w:t>
      </w:r>
      <w:r>
        <w:t xml:space="preserve"> (англ. - short tandem repeat). Эти две группы ПДАФ-систем, хотя и являются функциональными аналогами, не вполне эквивалентны по своим прикладным свойствам; в аспекте судебно-медицинской экспертизы их следует рассматривать как взаимодополняющие. Суть их ос</w:t>
      </w:r>
      <w:r>
        <w:t>обенностей в следующем.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Минисателлитные системы в своем большинстве обладают гораздо более высоким полиморфизмом, чем микросателлитные. Соответственно, их дифференцирующие свойства также заметно выше. Однако существенные ограничения накладываются на ПДАФ-а</w:t>
      </w:r>
      <w:r>
        <w:t>нализ минисателлитных локусов при исследовании деградированных препаратов ДНК, например выделенных из пятен крови, спермы, слюны, а также частей волосяного покрова и трупного материала, подвергшихся разложению под действием разрушающих биологических или фи</w:t>
      </w:r>
      <w:r>
        <w:t>зико-химических факторов. При анализе подобных препаратов может наблюдаться отсутствие электрофоретических полос в аллельном диапазоне, что, как правило, свидетельствует о деградации аллелей анализируемого локуса. Если же при анализе деградированного образ</w:t>
      </w:r>
      <w:r>
        <w:t>ца ДНК обнаруживается только один низкомолекулярный аллель, то в этом случае существует опасность ложной гомозиготности: возможно, анализируемый образец является гетерозиготным, но высокомолекулярный аллель не выявляется в ходе исследования, поскольку степ</w:t>
      </w:r>
      <w:r>
        <w:t>ень его деградации оказывается более высокой.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С этой точки зрения ПДАФ-типирование микросателлитных, STR-локусов может дать определенные преимущества. Так, благодаря более коротким по сравнению с минисателлитными размерам STR-аллелей, в целом выше вероятно</w:t>
      </w:r>
      <w:r>
        <w:t>сть их сохранения в деградированной ДНК. На практике это означает ощутимый выигрыш в чувствительности анализа. Кроме того, вероятность ложной гомозиготности, обусловленной предпочтительной амплификацией низкомолекулярных аллелей, крайне низка для микросате</w:t>
      </w:r>
      <w:r>
        <w:t>ллитных локусов вследствие узости спектра аллельных длин.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 xml:space="preserve">В настоящее время для экспертных целей разработано несколько десятков молекулярно-генетических ПДАФ-систем на основе мини- и микросателлитных полиморфных локусов. Следует иметь в виду, что в случае </w:t>
      </w:r>
      <w:r>
        <w:t xml:space="preserve">микросателлитов согласно международной практике для экспертного </w:t>
      </w:r>
      <w:r>
        <w:lastRenderedPageBreak/>
        <w:t>применения подходят только "крупные" - тетра- и пентануклеотидные STR.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Title"/>
        <w:jc w:val="center"/>
        <w:outlineLvl w:val="2"/>
      </w:pPr>
      <w:r>
        <w:t>3.3. Фрагментный анализ. Позиционное сопоставление</w:t>
      </w:r>
    </w:p>
    <w:p w:rsidR="00000000" w:rsidRDefault="00172756">
      <w:pPr>
        <w:pStyle w:val="ConsPlusTitle"/>
        <w:jc w:val="center"/>
      </w:pPr>
      <w:r>
        <w:t>амплификационных геномных профилей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Normal"/>
        <w:ind w:firstLine="540"/>
        <w:jc w:val="both"/>
      </w:pPr>
      <w:r>
        <w:t>Гипервариабельные тандемно органи</w:t>
      </w:r>
      <w:r>
        <w:t>зованные локусы содержат различное число повторяющихся элементарных звеньев-повторов. При амплификации с праймерами, расположенными на флангах такого локуса, образуются фрагменты ДНК различной длины, причем длина фрагмента будет пропорциональна числу повто</w:t>
      </w:r>
      <w:r>
        <w:t xml:space="preserve">ров. Таким образом, в данной аналитической системе любой индивидуальный образец ДНК человека характеризуется наличием двух амплифицированных фрагментов разной или одинаковой длины (соответственно, гетерозиготное и гомозиготное состояние), поскольку каждая </w:t>
      </w:r>
      <w:r>
        <w:t>из двух гомологичных хромосом несет свой вариант гипервариабельного локуса, и эти варианты могут отличаться числом содержащихся в них тандемных повторов.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Синтезированные в ходе ПЦР продукты - молекулярные копии полиморфных участков геномной ДНК накапливают</w:t>
      </w:r>
      <w:r>
        <w:t>ся в реакционной смеси, вследствие чего количественно оказываются доступными для сравнительного анализа. Для этого полученные амплификационные продукты фракционируют по длине с помощью электрофореза в геле агарозы или полиакриламида (в последнем случае при</w:t>
      </w:r>
      <w:r>
        <w:t>меняют как обычный электрофорез, так и электрофорез в денатурирующих условиях) и фрагменты ДНК, амплифицированные в ходе реакции, выявляют, используя различные методы детекции. Чаще всего на электрофореграмме визуализируют полосы (зоны локализации фрагмент</w:t>
      </w:r>
      <w:r>
        <w:t>ов ДНК одного размера) с помощью флуоресцентного красителя этидиумбромида и затем регистрируют фотографически в УФ-свете или путем окрашивания нитратом серебра (в акриламидных гелях) с последующей фиксацией и высушиванием геля.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Индивидуальность ДНК реализу</w:t>
      </w:r>
      <w:r>
        <w:t xml:space="preserve">ется в виде индивидуально-специфичной комбинации из двух полиморфных фрагментов (полос на электрофореграмме), характеризующихся определенным расположением на дорожке геля. Это так называемый амплификационный профиль ДНК, который и является в данном случае </w:t>
      </w:r>
      <w:r>
        <w:t>индивидуализирующей геномной характеристикой человека, которому принадлежит анализируемая ДНК. Для целей отождествления амплификационных профилей ДНК или выявления в них признаков сходства и различий проводят их позиционное сопоставление.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При анализе элект</w:t>
      </w:r>
      <w:r>
        <w:t>рофореграммы можно выделить два аспекта: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а) картины распределения полос на сравниваемых дорожках геля похожи или непохожи;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б) позиции соответствующих фрагментов совпадают или не совпадают.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Вопрос о том, одинаковы или неодинаковы амплификационные профили, п</w:t>
      </w:r>
      <w:r>
        <w:t>олученные при анализе препаратов ДНК, выделенных из объектов экспертизы (скажем, из биологических следов на вещественных доказательствах и из крови проходящих по делу лиц), является в экспертизе ключевым. Это ясно, поскольку от того, как будет интерпретиро</w:t>
      </w:r>
      <w:r>
        <w:t>ван результат сравнения, зависит экспертный вывод: в одном случае это не исключение, а в другом - исключение причастности данного лица к происхождению следов. Между тем, именно вопрос о похожести и непохожести геномных профилей таит в себе большую опасност</w:t>
      </w:r>
      <w:r>
        <w:t>ь неверного решения из-за множества имеющихся здесь подводных камней. Некоторые из них мы и рассмотрим в этом разделе.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3.3.1. Ложное генотипирование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 xml:space="preserve">Что касается общей похожести одного геномного профиля на другой, то здесь ложный </w:t>
      </w:r>
      <w:r>
        <w:lastRenderedPageBreak/>
        <w:t>результат может быть обусл</w:t>
      </w:r>
      <w:r>
        <w:t>овлен двумя причинами. Во-первых, присутствие в сравниваемых препаратах ДНК постороннего генетического материала (чаще всего - в результате случайных загрязнений) может имитировать как совпадение, так и различие их геномных профилей. Во-вторых, этот же эфф</w:t>
      </w:r>
      <w:r>
        <w:t>ект может проявиться как результат неправильного генотипирования, в частности - ложноопределенной гомо- или гетерозиготности анализируемых объектов. Это связано с артефактами полимеразной цепной реакции, возникающими под влиянием неоптимальных условий ее п</w:t>
      </w:r>
      <w:r>
        <w:t>роведения: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- избыточным или недостаточным исходным количеством матричной ДНК;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- плохим качеством препарата;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- неспецифичностью праймеров и (или) неадекватно подобранным для них рабочим режимом, например, отжигом при более низкой, чем следует, температуре;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- неоптимальной концентрацией Taq полимеразы в реакционной смеси, в частности, ее избыточным количеством;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- присутствием в реакции неоптимальной концентрации ионов Mg</w:t>
      </w:r>
      <w:r>
        <w:rPr>
          <w:vertAlign w:val="superscript"/>
        </w:rPr>
        <w:t>2+</w:t>
      </w:r>
      <w:r>
        <w:t>;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- профилем кривой нагрева реакционной смеси с неоптимальными значениями температурных переходов (это может быть вызвано неудачными техническими параметрами прибора, используемого для амплификации ДНК);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- неоптимальной продолжительностью процесса циклическо</w:t>
      </w:r>
      <w:r>
        <w:t>го наращивания.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Наиболее распространенный артефакт - так называемый феномен предпочтительной амплификации аллелей довольно часто приводит к ошибочному заключению о гомозиготности. Вместе с тем, наряду с опасностью типирования ложных гомозигот нередки и бол</w:t>
      </w:r>
      <w:r>
        <w:t>ее сложные случаи искажения генотипа, характеризующиеся не только частичной утратой истинных аллелей, но амплификацией неспецифических (неаллельных) фрагментов, имитирующих ложно-гетерозиготный аллельный профиль. Решить проблему ложноопределенной гомо- или</w:t>
      </w:r>
      <w:r>
        <w:t xml:space="preserve"> гетерозиготности в некоторых случаях бывает весьма непросто. Помочь здесь может анализ устойчивости амплификационных профилей, основанный на амплификационном титровании сомнительных препаратов, использовании разных условий электрофореза и сред разделения,</w:t>
      </w:r>
      <w:r>
        <w:t xml:space="preserve"> а также многократная проверка воспроизводимости результата.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3.3.2. Сдвиг полос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Второй аспект вопроса - физическое сопоставление полос на электрофореграмме - также требует учета многих факторов. Одна из неприятностей здесь - так называемый сдвиг полос, ког</w:t>
      </w:r>
      <w:r>
        <w:t>да в процессе электрофореза фрагменты ДНК в одной дорожке геля движутся быстрее или медленнее, чем идентичные фрагменты в соседней дорожке. Это явление имеет несколько причин: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- неодинаковое количество ДНК в разных дорожках геля;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- неодинаковые ионные усло</w:t>
      </w:r>
      <w:r>
        <w:t>вия в препаратах, внесенных в разные дорожки геля (присутствие в препаратах примесей, влияющих на электрофоретическую подвижность ДНК - солей, спирта, фенола этидиумбромида и др.);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- избыточная напряженность электрического поля;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lastRenderedPageBreak/>
        <w:t>- перегрев и нарушение стру</w:t>
      </w:r>
      <w:r>
        <w:t>ктуры геля (избыточный ток);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- истощение электрофорезного буфера;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- микрогетерогенность геля (в частности, недостаточно высокое качество среды разделения).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Большая часть перечисленных факторов поддается контролю, поэтому решением проблемы может быть оптими</w:t>
      </w:r>
      <w:r>
        <w:t>зация и текущий мониторинг соответствующих параметров.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В некоторых случаях сдвиг полос носит не ступенчатый, а сглаженный характер (например, хорошо известный эффект "улыбки"). Тогда возникающие геометрические искажения электрофоретической картины в принци</w:t>
      </w:r>
      <w:r>
        <w:t>пе поддаются математическому анализу и могут быть скомпенсированы на стадии обработки изображения. Для этого рекомендуется кроме фланкирующих дорожек также и каждую третью-четвертую дорожку геля делать референтной, то есть вносить в нее маркеры молекулярны</w:t>
      </w:r>
      <w:r>
        <w:t>х масс, по которым будет рассчитываться фактор коррекции. Следует однако сказать, что надежная математическая коррекция возможна не всегда и электрофорез по возможности следует повторить.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3.3.3. Разрешающая способность электрофореза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Еще один очень важный м</w:t>
      </w:r>
      <w:r>
        <w:t>омент, о котором следует помнить при позиционном сопоставлении полос на электрофореграмме - это разрешающая способность используемой электрофоретической системы. Оценка этого параметра имеет принципиальное значение для решения вопроса о самой возможности а</w:t>
      </w:r>
      <w:r>
        <w:t>декватного сравнения амплификационных профилей. Для того, чтобы иметь такую возможность, необходимо быть уверенным, что применяемая для фракционирования амплифицированных фрагментов ДНК аналитическая система позволяет уверенно различать аллельные варианты,</w:t>
      </w:r>
      <w:r>
        <w:t xml:space="preserve"> отличающиеся по длине как минимум на одно повторяющееся звено. Иначе, можно ошибочно посчитать идентичными те фрагменты, которые имеют близкую, но не одинаковую длину.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Для разделения аллелей применяемых на практике локусов с варьирующимся числом тандемных</w:t>
      </w:r>
      <w:r>
        <w:t xml:space="preserve"> повторов, таких как STR-локусов (длина повторяющейся последовательности 2 - 4 п.н.) и VNTR-локусов с коротким шагом (в частности, минисателлитного локуса D1S80, где длина повторяющейся последовательности составляет 16 п.н.), необходимо иметь возможность р</w:t>
      </w:r>
      <w:r>
        <w:t xml:space="preserve">азличать фрагменты ДНК, которые отличаются по длине на 1 - 2% (и даже меньше в случае коротких тандемных повторов). Это справедливо и в случае электрофоретического фракционирования половых гетероформ амелогенинового гена, где надежность разделения дублета </w:t>
      </w:r>
      <w:r>
        <w:t>XY (106/112 п.н.) имеет принципиальное значение для использования данного теста.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Обеспечить такое разрешение способна не всякая электрофоретическая система. В первую очередь этим обусловлены высокие требования, предъявляемые к электрофоретическим средам ра</w:t>
      </w:r>
      <w:r>
        <w:t>зделения. В современном анализе ДНК применяются агарозные и полиакриламидные гели.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Если говорить об агарозных гелях, то они безусловно являются наиболее удобными и технологичными системами для электрофоретического анализа ДНК: с ними легко манипулировать и</w:t>
      </w:r>
      <w:r>
        <w:t xml:space="preserve"> они не обладают присущим акриламиду нейротоксическим действием. Кроме того, стандартные нативные гели агарозы в гораздо меньшей степени, чем полиакриламидные среды, чувствительны к случайным флуктуациям в макроструктуре молекул ДНК и потому менее склонны </w:t>
      </w:r>
      <w:r>
        <w:t>к определенным, связанным с этим артефактам, которые могут приводить к позиционным искажениям в анализируемом геномном профиле и как следствие - к ошибкам при идентификации аллелей. Однако следует помнить, что разделяющая способность обычных агарозных геле</w:t>
      </w:r>
      <w:r>
        <w:t xml:space="preserve">й в </w:t>
      </w:r>
      <w:r>
        <w:lastRenderedPageBreak/>
        <w:t xml:space="preserve">отношении фрагментов ДНК малого размера намного ниже, чем у полиакриламидных, и потому они непригодны для фрагментного анализа STR-локусов и даже некоторых VNTR-локусов с коротким шагом. В этих случаях следует использовать специальные агарозные среды, </w:t>
      </w:r>
      <w:r>
        <w:t>такие как модифицированные агарозы семейства NuSieve(R) и MetaPhor(R) фирмы FMC Bio Products (США) или аналогичные им продукты других фирм.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Акриламидные гели могут применяться как нативные, так и денатурирующие. Каждая из этих систем имеет ряд особенностей</w:t>
      </w:r>
      <w:r>
        <w:t>. Из принципиальных моментов отметим, что интерпретация электрофореграмм, полученных в денатурирующих условиях, может осложняться эффектом "разделения цепей", когда индивидуальные фрагменты ДНК в геле оказываются представленными двумя полосами. Что касаетс</w:t>
      </w:r>
      <w:r>
        <w:t>я нативных полиакриламидных гелей, то в целом это системы с нехарактерными для агарозы электрофоретическими свойствами: они гораздо более чувствительны к пространствено-конформационным параметрам молекул ДНК. Поэтому в этих гелях электрофоретическое поведе</w:t>
      </w:r>
      <w:r>
        <w:t>ние фрагментов ДНК довольно сильно зависит от их нуклеотидного состава, что может проявляться в так называемом эффекте аномальной электрофоретической подвижности и вызывать определенные геометрические искажения амплификационного профиля, в частности - пози</w:t>
      </w:r>
      <w:r>
        <w:t>ционные несоответствия, касающиеся наблюдаемых и реальных размеров фрагментов.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На практике разрешение электрофореза нужно обязательно контролировать, например, визуально - используя наборы локус-специфичных аллельных маркеров (аллельных "лестниц"), или с п</w:t>
      </w:r>
      <w:r>
        <w:t>омощью компьютерных программных средств, используя внутренние или внешние маркеры молекулярных масс.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3.3.4. Измерение электрофоретической подвижности фрагментов ДНК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Из сказанного выше очевидно, что вопрос позиционного совпадения или несовпадения амплифицир</w:t>
      </w:r>
      <w:r>
        <w:t>ованных фрагментов ДНК в сравниваемых геномных профилях (по сути - вопрос их тождественности или отличия) не может быть адекватно решен "на глазок". И прежде всего потому, что при таком способе оценки трудно учесть все действующие факторы в их совокупности</w:t>
      </w:r>
      <w:r>
        <w:t>, а именно это влияет на результат. Так например, при невысоком электрофоретическом разрешении можно ошибочно отождествить заведомо разные фрагменты, поскольку их позиции совпадут на электрофореграмме. В более сложных случаях, в сочетании с выраженным эффе</w:t>
      </w:r>
      <w:r>
        <w:t>ктом сдвига полос, недостаточное разрешение электрофореза может привести к тому, что наоборот, заведомо одинаковые фрагменты будут иметь разные позиции на геле и восприниматься как разные аллели.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Поэтому, строго говоря, вопрос позиционного совпадения или н</w:t>
      </w:r>
      <w:r>
        <w:t>есовпадения фрагментов ДНК должен решаться аналитическим путем - на том основании, что позиции сравниваемых фрагментов попадают или же не попадают в интервалы, удовлетворяющие установленным допускам. Очевидно, что такой подход в первую очередь требует выпо</w:t>
      </w:r>
      <w:r>
        <w:t>лнения физических измерений на электрофореграмме и учета их неизбежных неточностей.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Существует множество методов, позволяющих проводить измерение электрофоретической подвижности фрагментов ДНК на геле. При этом определенные ограничения на применимость того</w:t>
      </w:r>
      <w:r>
        <w:t xml:space="preserve"> или иного метода накладывают погрешности измерений.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Так, наиболее простой, но и наименее точный способ - измерение обычной линейкой. Однако он оказывается неприемлемым для относительно коротких агарозных гелей, когда цена деления мерной шкалы легко "вмеща</w:t>
      </w:r>
      <w:r>
        <w:t xml:space="preserve">ет" разницу в подвижности двух соседних аллелей. Более или менее универсальный вариант - это так называемый дигитайзер (англ. digitizer), представляющий собой электронный модуль, включающий курсор-измеритель и цифровое координатное устройство. Такой </w:t>
      </w:r>
      <w:r>
        <w:lastRenderedPageBreak/>
        <w:t>модуль</w:t>
      </w:r>
      <w:r>
        <w:t xml:space="preserve"> может использоваться как самостоятельный прибор или в качестве составной части компьютерных систем обработки изображения. Наивысшую надежность и точность измерений обеспечивают компьютеризованные регистрирующие системы, снабженные соответствующими програм</w:t>
      </w:r>
      <w:r>
        <w:t>мными средствами.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 xml:space="preserve">В качестве примера можно рекомендовать компьютеризованную систему TVID-DATAPHOR, разработанную и внедренную в 1993 г. в Бюро Главной судебно-медицинской экспертизы МЗ РФ. При помощи видеокамеры данная система позволяет получать и хранить </w:t>
      </w:r>
      <w:r>
        <w:t>в памяти компьютера оцифрованное изображение окрашенного геля. Программные средства позволяют эксперту осуществить контроль электрофоретического разрешения, провести анализ распределения материала в полосе на электрофореграмме и двумерное измерение пробега</w:t>
      </w:r>
      <w:r>
        <w:t xml:space="preserve"> в геле, а затем определить размеры фрагментов ДНК с использованием нескольких алгоритмов. Предусмотрена также возможность коррекции электрофоретической неоднородности геля. Программа-дигитайзер имеет координатную систему с ценой деления в 1 пиксель, что о</w:t>
      </w:r>
      <w:r>
        <w:t>беспечивает точность измерений в реальном масштабе в пределах +/- 0,1 мм.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3.3.5. Позиционные критерии сопоставления геномных профилей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В плане решения ключевого вопроса - позиционного совпадения или несовпадения фрагментов ДНК, оценка величины физической по</w:t>
      </w:r>
      <w:r>
        <w:t>грешности, используемой экспертом аналитической системы, позволяет установить для данной системы соответствующие объективные правила позиционного сопоставления амплификационных профилей.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Рассуждая чисто теоретически, обобщенные требования для аналитической системы просты, а именно: позиции на геле разных аллельных фрагментов не должны совпадать, а одинаковых - различаться. Однако не следует забывать, что физическая погрешность используемых</w:t>
      </w:r>
      <w:r>
        <w:t xml:space="preserve"> на практике аналитических систем - реальная величина, и потому позиции идентичных фрагментов на геле могут несколько различаться. Это может привести к неоднозначному истолкованию результата. Чтобы избежать интерпретационных ошибок, надо руководствоваться </w:t>
      </w:r>
      <w:r>
        <w:t>следующими критериями оценки: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- два фрагмента ДНК считать тождественными друг другу - если их позиции на геле не отличаются более чем на удвоенную величину физической погрешности системы при условии, что разрешение электрофореза в этой точке достаточно, чт</w:t>
      </w:r>
      <w:r>
        <w:t>обы величина физической погрешности была меньше 1/4 длины аллельного шага на минимально измеряемую величину;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- два фрагмента ДНК нетождественны - если при том же условии их позиции на геле отличаются более чем на удвоенную величину физической погрешности.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3.3.6. Определение размера и генотипирование фрагментов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Для индивидуализирующих ПДАФ-систем, которые основаны на использовании полиморфных локусов с дискретным распределением аллелей, применение локус-специфичных аллельных маркеров (аллельных "лестниц") по</w:t>
      </w:r>
      <w:r>
        <w:t>зволяет относительно просто осуществлять генотипирование аллельных профилей и при условии, что в каждом эксперименте были соблюдены необходимые позиционные критерии сопоставления полос (см. выше), переходить от позиционного анализа в рамках одного эксперим</w:t>
      </w:r>
      <w:r>
        <w:t>ента к безотносительному сравнению генотипов объектов.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В том случае, если используются другие (неаллельные) маркеры молекулярных масс, ключом к генотипированию, то есть к идентификации аллелей служит молекулярный размер (длина) амплифицированных фрагментов</w:t>
      </w:r>
      <w:r>
        <w:t xml:space="preserve">, определяемый расчетным путем на основании физических </w:t>
      </w:r>
      <w:r>
        <w:lastRenderedPageBreak/>
        <w:t>измерений пробега фрагментов ДНК на электрофореграмме. Однако здесь существуют важные дополнительные условия, без учета которых определение размеров амплифицированных фрагментов ДНК не всегда может гар</w:t>
      </w:r>
      <w:r>
        <w:t>антированно обеспечить правильную идентификацию аллелей, которым эти фрагменты соответствуют.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Чтобы определить размеры амплифицированных фрагментов ДНК по их расположению на геле в первую очередь нужно проанализировать профиль электрофоретического разделен</w:t>
      </w:r>
      <w:r>
        <w:t>ия для данного конкретного геля и для него определить точный характер зависимости электрофоретической подвижности фрагментов от их размеров. Это можно сделать, используя стандарты молекулярных масс, то есть фрагменты ДНК заранее известного размера, которые</w:t>
      </w:r>
      <w:r>
        <w:t xml:space="preserve"> фракционируют на том же геле, что и анализируемые амодифицированные фрагменты.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По характеру применения электрофоретические стандарты молекулярных масс бывают внешними и внутренними. Внешние стандарты наносят на гель так, что они образуют самостоятельные -</w:t>
      </w:r>
      <w:r>
        <w:t xml:space="preserve"> контрольные или маркерные дорожки. Чтобы минимизировать возможные пространственные искажения - как реальные, так и кажущиеся (параллаксные), которые влияют на точность сопоставления характеристик стандартной и анализируемой дорожек, маркерные дорожки след</w:t>
      </w:r>
      <w:r>
        <w:t>ует располагать на геле как можно ближе к дорожкам, где движутся анализируемые фрагменты ДНК. Такой проблемы не возникает в том случае, если стандарты молекулярных масс вносят непосредственно в ту же дорожку, где фракционируют интересующие амплифицированны</w:t>
      </w:r>
      <w:r>
        <w:t>е фрагменты (внутренний стандарт). Однако в обычной практике использование внутренних стандартов пригодно лишь для решения ограниченного круга задач; универсализация же этого подхода требует специальной приборной базы (например, многоцветной флуоресцентной</w:t>
      </w:r>
      <w:r>
        <w:t xml:space="preserve"> детекции).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Анализ данных электрофоретического разделения стандартных (маркерных) фрагментов позволяет определить параметры кривой зависимости электрофоретической подвижности фрагментов от их размеров для данного конкретного геля и затем, используя эти пар</w:t>
      </w:r>
      <w:r>
        <w:t>аметры, рассчитать длину анализируемого фрагмента на основании величины его электрофоретической подвижности. Для этого существуют специальные расчетные алгоритмы, которые характеризуются разной степенью точности. Это надо учитывать. Кроме того, еще один ва</w:t>
      </w:r>
      <w:r>
        <w:t>жный момент заключается в следующем: принципиальное значение для всех алгоритмов имеет условие, что стандарты (маркерные фрагменты) и анализируемые фрагменты - гомологичны, то есть представлены одинаковыми полинуклеотидными последовательностями. Если это у</w:t>
      </w:r>
      <w:r>
        <w:t>словие не соблюдено, то есть нуклеотидный состав и первичная структура анализируемой и контрольной ДНК различны, то ошибка в определении размера фрагментов может достигать нескольких процентов. (Это связано с минорными различиями в физико-химических, и как</w:t>
      </w:r>
      <w:r>
        <w:t xml:space="preserve"> следствие, электрофоретических свойствах полинуклеотидных цепей с различным нуклеотидным составом). Таким образом, погрешность расчетов при определении размера фрагментов является важной составляющей (вместе с физической погрешностью), которую необходимо </w:t>
      </w:r>
      <w:r>
        <w:t>учитывать при оценке общей ошибки генотипирования, присущей данной аналитической системе в целом.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Все это означает, что генотипические характеристики, полученные расчетным путем на основании величины электрофоретической подвижности гетерологичных стандарто</w:t>
      </w:r>
      <w:r>
        <w:t>в молекулярных масс, являются условными и потому не могут быть напрямую использованы для сопоставления как элементы банка данных - например, для сопоставления геномных профилей, полученных на разных гелях. Чтобы получить такую возможность, необходимо как м</w:t>
      </w:r>
      <w:r>
        <w:t>инимум использовать одинаковые маркеры или же провести нормирование ошибки и осуществить коррекцию всех данных по эталону - например, по гомологичному аллельному маркеру. Последний вариант предпочтителен, поскольку позволяет оперировать не условными, а ист</w:t>
      </w:r>
      <w:r>
        <w:t>инными генотипами, что необходимо для корректной статистической обработки данных.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Title"/>
        <w:jc w:val="center"/>
        <w:outlineLvl w:val="2"/>
      </w:pPr>
      <w:r>
        <w:t>3.4. Интерпретация результатов генотипирования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Normal"/>
        <w:ind w:firstLine="540"/>
        <w:jc w:val="both"/>
      </w:pPr>
      <w:r>
        <w:t>Достоверная нетождественность аллельных профилей ДНК трактуется в общем случае как исключение происхождения сравниваемых биол</w:t>
      </w:r>
      <w:r>
        <w:t xml:space="preserve">огических объектов от одного индивидуума. При этом следует соблюдать следующее условие: несовпадение аллельных профилей в исследуемых препаратах ДНК имеет доказательственное исключающее значение только при том условии, что оно зарегистрировано более чем в </w:t>
      </w:r>
      <w:r>
        <w:t>одной ПДАФ-системе и соответствующие полиморфные локусы генетически не сцеплены. (Это требование компенсирует возможность соматических и гаметических мутаций в исследуемых локусах хромосомной ДНК).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В свою очередь, достоверная тождественность аллельных проф</w:t>
      </w:r>
      <w:r>
        <w:t>илей ДНК не влечет безусловный вывод о происхождении сравниваемых биологических объектов от одного индивидуума. Здесь строго обязательна вероятностная оценка генетической идентичности объектов экспертизы при условии зарегистрированного совпадения их ПДАФ-п</w:t>
      </w:r>
      <w:r>
        <w:t>рофилей. Это требование диктуется необходимостью принимать во внимание возможность случайного совпадения индивидуализирующих признаков разных лиц.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Действительно, совпадение амплификационных профилей (генотипов) в препаратах ДНК, полученных из биологических</w:t>
      </w:r>
      <w:r>
        <w:t xml:space="preserve"> следов с места преступления и в ДНК подозреваемого, еще не означает, что у этих двух ДНК общее происхождение. Иначе говоря, сам по себе факт генотипического совпадения не обязательно влечет за собой вывод о том, что следы произошли именно от этого человек</w:t>
      </w:r>
      <w:r>
        <w:t>а; они могли произойти и от другого индивидуума, который неотличим по исследованным генетическим признакам от первого. Точно так же, в экспертизе спорного отцовства факт совпадения отцовских аллелей в генотипе ребенка с аллелями, присутствующими в геноме п</w:t>
      </w:r>
      <w:r>
        <w:t>редполагаемого отца, еще не означает доказанного отцовства.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Это объясняется тем, что как бы ни высока была индивидуализирующая значимость анализируемых признаков, а именно, аллельных вариантов полиморфных генов, она не абсолютна. По сути, эти признаки оста</w:t>
      </w:r>
      <w:r>
        <w:t>ются группоспецифическими, то есть в той или иной степени каждый из них распространен в популяции. Поэтому после того как в ходе экспертизы установлен факт совпадения ДНК-профилей, характеризующих объекты экспертизы, и выполнено их генотипирование, перед э</w:t>
      </w:r>
      <w:r>
        <w:t>кспертом встает последний и самый важный вопрос: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- Если генотипические аллельные комбинации двух препаратов ДНК совпадают, то какова вероятность того, что они произошли от одного человека?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Или, в случае экспертизы спорного происхождения детей: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- Если все а</w:t>
      </w:r>
      <w:r>
        <w:t>ллели ребенка находят комплементарное соответствие в генотипах матери и предполагаемого отца и если материнство бесспорно, то какова вероятность того, что предполагаемый отец является биологическим отцом этого ребенка?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Для того, чтобы ответить на этот ключ</w:t>
      </w:r>
      <w:r>
        <w:t>евой вопрос и, тем самым, окончательно решить экспертную задачу, необходимо прояснить два момента. Во-первых, необходимо оценить индивидуализирующее значение выявленного комплекса признаков, то есть количественно определить насколько полученные в ходе иссл</w:t>
      </w:r>
      <w:r>
        <w:t>едования генетические признаки позволяют отграничить исследованный объект экспертизы от любого другого, ему подобного. Во-вторых, нужно правильно выбрать алгоритм расчета вероятности для оценки идентификационной значимости результатов экспертизы.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lastRenderedPageBreak/>
        <w:t>3.4.1. Оц</w:t>
      </w:r>
      <w:r>
        <w:t>енка индивидуализирующего значения ПДАФ-профиля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Для того, чтобы определить индивидуализирующее значение выявленного геномного профиля нужно определить его распространенность в популяции. Исходным параметром популяционных выкладок, касающихся оценки распрос</w:t>
      </w:r>
      <w:r>
        <w:t>траненности признака служит величина, называемая вероятностью признака. В нашем случае - это вероятность аллеля, которая обозначается символом (p). По определению эта величина равна отношению числа аллелей данного типа к общему числу аллелей исследуемого л</w:t>
      </w:r>
      <w:r>
        <w:t>окуса в наблюдаемой выборке. Величину (p) называют также аллельной частотой. Ее определяют эмпирически - на основании результатов популяционных исследований.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Помимо вероятности аллеля, другой важной характеристикой является частота встречаемости аллеля в п</w:t>
      </w:r>
      <w:r>
        <w:t>опуляции - так называемая статистическая частота аллеля. Она часто обозначается символом (q). Обращаем внимание, что этот параметр, хотя и созвучен аллельной частоте, отличается от нее как по величине, так и по смыслу. Для популяций, находящихся в условиях</w:t>
      </w:r>
      <w:r>
        <w:t xml:space="preserve"> равновесия Харди-Вайнберга, величина (q) связана с величиной (p) соотношением:</w:t>
      </w:r>
    </w:p>
    <w:p w:rsidR="00000000" w:rsidRDefault="00172756">
      <w:pPr>
        <w:pStyle w:val="ConsPlusNormal"/>
        <w:ind w:firstLine="540"/>
        <w:jc w:val="both"/>
      </w:pPr>
    </w:p>
    <w:p w:rsidR="00000000" w:rsidRDefault="00172756">
      <w:pPr>
        <w:pStyle w:val="ConsPlusNormal"/>
        <w:jc w:val="center"/>
      </w:pPr>
      <w:r>
        <w:t>q = 2p - p</w:t>
      </w:r>
      <w:r>
        <w:rPr>
          <w:vertAlign w:val="superscript"/>
        </w:rPr>
        <w:t>2</w:t>
      </w:r>
      <w:r>
        <w:t>.</w:t>
      </w:r>
    </w:p>
    <w:p w:rsidR="00000000" w:rsidRDefault="00172756">
      <w:pPr>
        <w:pStyle w:val="ConsPlusNormal"/>
        <w:ind w:firstLine="540"/>
        <w:jc w:val="both"/>
      </w:pPr>
    </w:p>
    <w:p w:rsidR="00000000" w:rsidRDefault="00172756">
      <w:pPr>
        <w:pStyle w:val="ConsPlusNormal"/>
        <w:ind w:firstLine="540"/>
        <w:jc w:val="both"/>
      </w:pPr>
      <w:r>
        <w:t>Она также может быть определена</w:t>
      </w:r>
      <w:r>
        <w:t xml:space="preserve"> на основании данных популяционных исследований: статистическая частота аллеля - это отношение числа генотипов, в которых присутствует данный аллель, к общему числу всех возможных генотипов в популяционной выборке.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Из этого определения следует, что, наприм</w:t>
      </w:r>
      <w:r>
        <w:t>ер, в экспертизе спорного отцовства именно статистическая частота аллеля (q) должна фигурировать как мера распространенности в популяции индивидуализирующего признака, присущего сравниваемым субъектам (ребенку и предполагаемому отцу) и используемого в целя</w:t>
      </w:r>
      <w:r>
        <w:t>х идентификации биологического отца ребенка. Иными словами, это и есть мера индивидуализирующего значения признака, в данном случае - аллеля: величина (q) служит тем параметром, который определяет шансы любого (случайного) мужчины, имеющего данный аллель в</w:t>
      </w:r>
      <w:r>
        <w:t xml:space="preserve"> генотипе, считаться биологическим отцом любого ребенка, у которого этот конкретный аллель был идентифицирован как отцовский.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В случае же экспертизы идентификации личности, в качестве индивидуализирующего признака, имеющего идентификационное значение высту</w:t>
      </w:r>
      <w:r>
        <w:t>пает уже не отдельный аллель, а целиком генотип. Напомним, что для каждого отдельного локуса это - комбинация двух аллелей, которые могут быть разными (a1; a2 - гетерозиготное состояние), а могут оказаться и одинаковыми (a1; a1 - гомозиготное состояние). П</w:t>
      </w:r>
      <w:r>
        <w:t>оэтому здесь для количественной оценки индивидуализирующего значения признака используют статистическую частоту генотипа, а именно - частоту встречаемости конкретного профиля ДНК в популяции. Эту величину иногда обозначают символом (Q); ее определяют эмпир</w:t>
      </w:r>
      <w:r>
        <w:t>ически на основании данных популяционных исследований или же рассчитывают, исходя из величины вероятности каждого аллеля (p</w:t>
      </w:r>
      <w:r>
        <w:rPr>
          <w:vertAlign w:val="subscript"/>
        </w:rPr>
        <w:t>a1</w:t>
      </w:r>
      <w:r>
        <w:t xml:space="preserve"> и p</w:t>
      </w:r>
      <w:r>
        <w:rPr>
          <w:vertAlign w:val="subscript"/>
        </w:rPr>
        <w:t>a2</w:t>
      </w:r>
      <w:r>
        <w:t xml:space="preserve">) на основании закономерностей менделеевского наследования. Для гетерозиготного и гомозиготного генотипов расчетные величины </w:t>
      </w:r>
      <w:r>
        <w:t>(Q) соответственно таковы:</w:t>
      </w:r>
    </w:p>
    <w:p w:rsidR="00000000" w:rsidRDefault="00172756">
      <w:pPr>
        <w:pStyle w:val="ConsPlusNormal"/>
        <w:jc w:val="both"/>
      </w:pPr>
    </w:p>
    <w:p w:rsidR="00000000" w:rsidRDefault="00172756">
      <w:pPr>
        <w:pStyle w:val="ConsPlusNormal"/>
        <w:jc w:val="center"/>
      </w:pPr>
      <w:r>
        <w:t>Q = 2 х p</w:t>
      </w:r>
      <w:r>
        <w:rPr>
          <w:vertAlign w:val="subscript"/>
        </w:rPr>
        <w:t>a1</w:t>
      </w:r>
      <w:r>
        <w:t xml:space="preserve"> х p</w:t>
      </w:r>
      <w:r>
        <w:rPr>
          <w:vertAlign w:val="subscript"/>
        </w:rPr>
        <w:t>a2</w:t>
      </w:r>
      <w:r>
        <w:t>,</w:t>
      </w:r>
    </w:p>
    <w:p w:rsidR="00000000" w:rsidRDefault="00172756">
      <w:pPr>
        <w:pStyle w:val="ConsPlusNormal"/>
        <w:jc w:val="both"/>
      </w:pPr>
    </w:p>
    <w:p w:rsidR="00000000" w:rsidRDefault="00337441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62865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72756">
      <w:pPr>
        <w:pStyle w:val="ConsPlusNormal"/>
        <w:jc w:val="both"/>
      </w:pPr>
    </w:p>
    <w:p w:rsidR="00000000" w:rsidRDefault="00172756">
      <w:pPr>
        <w:pStyle w:val="ConsPlusNormal"/>
        <w:ind w:firstLine="540"/>
        <w:jc w:val="both"/>
      </w:pPr>
      <w:r>
        <w:t>Важно однако подчеркнуть, что в современной мировой практике для расчета статистической частоты гомозиготных профилей вместо выражения:</w:t>
      </w:r>
    </w:p>
    <w:p w:rsidR="00000000" w:rsidRDefault="00172756">
      <w:pPr>
        <w:pStyle w:val="ConsPlusNormal"/>
        <w:jc w:val="both"/>
      </w:pPr>
    </w:p>
    <w:p w:rsidR="00000000" w:rsidRDefault="00337441">
      <w:pPr>
        <w:pStyle w:val="ConsPlusNormal"/>
        <w:jc w:val="center"/>
      </w:pPr>
      <w:r>
        <w:rPr>
          <w:noProof/>
          <w:position w:val="-10"/>
        </w:rPr>
        <w:lastRenderedPageBreak/>
        <w:drawing>
          <wp:inline distT="0" distB="0" distL="0" distR="0">
            <wp:extent cx="628650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72756">
      <w:pPr>
        <w:pStyle w:val="ConsPlusNormal"/>
        <w:jc w:val="both"/>
      </w:pPr>
    </w:p>
    <w:p w:rsidR="00000000" w:rsidRDefault="00172756">
      <w:pPr>
        <w:pStyle w:val="ConsPlusNormal"/>
        <w:ind w:firstLine="540"/>
        <w:jc w:val="both"/>
      </w:pPr>
      <w:r>
        <w:t>обычно применяют искусственную, но более консервативную оценку:</w:t>
      </w:r>
    </w:p>
    <w:p w:rsidR="00000000" w:rsidRDefault="00172756">
      <w:pPr>
        <w:pStyle w:val="ConsPlusNormal"/>
        <w:jc w:val="both"/>
      </w:pPr>
    </w:p>
    <w:p w:rsidR="00000000" w:rsidRDefault="00172756">
      <w:pPr>
        <w:pStyle w:val="ConsPlusNormal"/>
        <w:jc w:val="center"/>
      </w:pPr>
      <w:r>
        <w:t>Q = 2p.</w:t>
      </w:r>
    </w:p>
    <w:p w:rsidR="00000000" w:rsidRDefault="00172756">
      <w:pPr>
        <w:pStyle w:val="ConsPlusNormal"/>
        <w:ind w:firstLine="540"/>
        <w:jc w:val="both"/>
      </w:pPr>
    </w:p>
    <w:p w:rsidR="00000000" w:rsidRDefault="00172756">
      <w:pPr>
        <w:pStyle w:val="ConsPlusNormal"/>
        <w:ind w:firstLine="540"/>
        <w:jc w:val="both"/>
      </w:pPr>
      <w:r>
        <w:t>Это делается для компенсации эффекта ложной гомозиготности. (Приведенные формулы справедливы только для популяций, находящихся в условиях равновесия Харди-Вайнберга).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Таким образо</w:t>
      </w:r>
      <w:r>
        <w:t>м, в случае идентификационного исследования величина (Q) служит параметром, который определяет шансы любого (случайного) человека, имеющего данный генотип, считаться именно тем лицом, от которого произошла любая ДНК с этим генотипом.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 xml:space="preserve">Если индивидуализация </w:t>
      </w:r>
      <w:r>
        <w:t>объекта экспертизы осуществляется по нескольким независимым (несцепленным) ПДАФ-системам, то для целей совокупной оценки индивидуализирующего значения выявленного комплекса признаков их статистические частоты могут быть перемножены. Следовательно, количест</w:t>
      </w:r>
      <w:r>
        <w:t>венная оценка индивидуализирующего значения нескольких геномных профилей, полученных для панели несцепленных полиморфных локусов, будет определяться как произведение статистических частот всех генотипов - в идентификационной экспертизе или всех отцовских а</w:t>
      </w:r>
      <w:r>
        <w:t>ллелей ребенка - в экспертизе спорного отцовства. Иными словами, для совпадения, зарегистрированного по нескольким несцепленным локусам: a, b,...n:</w:t>
      </w:r>
    </w:p>
    <w:p w:rsidR="00000000" w:rsidRDefault="00172756">
      <w:pPr>
        <w:pStyle w:val="ConsPlusNormal"/>
        <w:ind w:firstLine="540"/>
        <w:jc w:val="both"/>
      </w:pPr>
    </w:p>
    <w:p w:rsidR="00000000" w:rsidRDefault="00172756">
      <w:pPr>
        <w:pStyle w:val="ConsPlusNormal"/>
        <w:jc w:val="center"/>
      </w:pPr>
      <w:r>
        <w:t>Q = (Q</w:t>
      </w:r>
      <w:r>
        <w:rPr>
          <w:vertAlign w:val="subscript"/>
        </w:rPr>
        <w:t>a</w:t>
      </w:r>
      <w:r>
        <w:t xml:space="preserve"> х Q</w:t>
      </w:r>
      <w:r>
        <w:rPr>
          <w:vertAlign w:val="subscript"/>
        </w:rPr>
        <w:t>b</w:t>
      </w:r>
      <w:r>
        <w:t xml:space="preserve"> х Q</w:t>
      </w:r>
      <w:r>
        <w:rPr>
          <w:vertAlign w:val="subscript"/>
        </w:rPr>
        <w:t>c</w:t>
      </w:r>
      <w:r>
        <w:t xml:space="preserve"> х...Q</w:t>
      </w:r>
      <w:r>
        <w:rPr>
          <w:vertAlign w:val="subscript"/>
        </w:rPr>
        <w:t>n</w:t>
      </w:r>
      <w:r>
        <w:t>),</w:t>
      </w:r>
    </w:p>
    <w:p w:rsidR="00000000" w:rsidRDefault="00172756">
      <w:pPr>
        <w:pStyle w:val="ConsPlusNormal"/>
        <w:jc w:val="both"/>
      </w:pPr>
    </w:p>
    <w:p w:rsidR="00000000" w:rsidRDefault="00172756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n</w:t>
      </w:r>
      <w:r>
        <w:t xml:space="preserve"> - статистическая частота n-го локального генотипа.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Аналогично, при вероя</w:t>
      </w:r>
      <w:r>
        <w:t>тностной оценке результатов экспертизы спорного отцовства, когда по нескольким локусам не получено исключения ложноуказанного отца:</w:t>
      </w:r>
    </w:p>
    <w:p w:rsidR="00000000" w:rsidRDefault="00172756">
      <w:pPr>
        <w:pStyle w:val="ConsPlusNormal"/>
        <w:jc w:val="both"/>
      </w:pPr>
    </w:p>
    <w:p w:rsidR="00000000" w:rsidRDefault="00172756">
      <w:pPr>
        <w:pStyle w:val="ConsPlusNormal"/>
        <w:jc w:val="center"/>
      </w:pPr>
      <w:r>
        <w:t>q = (q</w:t>
      </w:r>
      <w:r>
        <w:rPr>
          <w:vertAlign w:val="subscript"/>
        </w:rPr>
        <w:t>a</w:t>
      </w:r>
      <w:r>
        <w:t xml:space="preserve"> х q</w:t>
      </w:r>
      <w:r>
        <w:rPr>
          <w:vertAlign w:val="subscript"/>
        </w:rPr>
        <w:t>b</w:t>
      </w:r>
      <w:r>
        <w:t xml:space="preserve"> х q</w:t>
      </w:r>
      <w:r>
        <w:rPr>
          <w:vertAlign w:val="subscript"/>
        </w:rPr>
        <w:t>c</w:t>
      </w:r>
      <w:r>
        <w:t xml:space="preserve"> х...q</w:t>
      </w:r>
      <w:r>
        <w:rPr>
          <w:vertAlign w:val="subscript"/>
        </w:rPr>
        <w:t>n</w:t>
      </w:r>
      <w:r>
        <w:t>),</w:t>
      </w:r>
    </w:p>
    <w:p w:rsidR="00000000" w:rsidRDefault="00172756">
      <w:pPr>
        <w:pStyle w:val="ConsPlusNormal"/>
        <w:jc w:val="both"/>
      </w:pPr>
    </w:p>
    <w:p w:rsidR="00000000" w:rsidRDefault="00172756">
      <w:pPr>
        <w:pStyle w:val="ConsPlusNormal"/>
        <w:ind w:firstLine="540"/>
        <w:jc w:val="both"/>
      </w:pPr>
      <w:r>
        <w:t>где q - общая статистическая частота всех отцовских аллелей, выявленных в генотипе ребенка.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3.4.2. Вычисление вероятности генетической идентичности объектов экспертизы и вероятности отцовства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Стандартные в зарубежной судебно-экспертной практике величины "инкриминирующее значение" (англ. - Incriminating Value, IV) и "индекс отцовства" (англ. - Pat</w:t>
      </w:r>
      <w:r>
        <w:t>ernity Index, PI), математически - суть отношения правдоподобия, которые призваны ответить на вопрос: во сколько раз более вероятно, что выявленные в ходе анализа индивидуализирующие признаки совпадают закономерно (например, когда исследуемые образцы ДНК п</w:t>
      </w:r>
      <w:r>
        <w:t>роизошли от одного человека), а не случайно (то есть, когда они принадлежат двум разным членам популяции).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В количественном выражении: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Normal"/>
        <w:jc w:val="center"/>
      </w:pPr>
      <w:r>
        <w:t>IV = 1 / Q.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Normal"/>
        <w:ind w:firstLine="540"/>
        <w:jc w:val="both"/>
      </w:pPr>
      <w:r>
        <w:t>Аналогичная по смыслу величина - индекс отцовства PI: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Normal"/>
        <w:jc w:val="center"/>
      </w:pPr>
      <w:r>
        <w:t>PI = 1 / q.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Normal"/>
        <w:ind w:firstLine="540"/>
        <w:jc w:val="both"/>
      </w:pPr>
      <w:r>
        <w:t xml:space="preserve">Однако, строго говоря, вычисление PI и </w:t>
      </w:r>
      <w:r>
        <w:t>IV не дает ответа на главный вопрос, призванный количественно охарактеризовать доказательственное значение экспертизы: если совпадение признаков установлено, то какова вероятность, что это совпадение закономерно, а не произошло по воле случайности? Ответит</w:t>
      </w:r>
      <w:r>
        <w:t>ь на этот вопрос можно, используя формулу вычисления условной вероятности, выведенную Байесом (Bayes). Общий смысл этой формулы в том, что зная так называемую априорную ("до опыта") вероятность интересующего нас некоего события (например, происхождения ДНК</w:t>
      </w:r>
      <w:r>
        <w:t xml:space="preserve"> от этого или же от другого человека), мы можем определить величину постериорной ("после опыта") вероятности этого же события при условии, что уже произошло другое событие, имеющее определенное отношение к первому (например, амплификационные профили испыту</w:t>
      </w:r>
      <w:r>
        <w:t>емой ДНК и ДНК этого идентифицируемого человека совпали).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Априорную вероятность в общем случае принято считать равной 0,5. (Надо подчеркнуть, что хотя эта величина и не является бесспорной, изменение оценки априорной вероятности не входит в компетенцию экс</w:t>
      </w:r>
      <w:r>
        <w:t>перта и является прерогативой суда). Можно показать, что подставляя это и другие соответствующие рассматриваемому случаю значения величин в формулу Байеса, мы получим выражение, определяющее конечную постериорную вероятность того, что при наблюдаемом совпа</w:t>
      </w:r>
      <w:r>
        <w:t>дении геномных профилей исследованные образцы ДНК идентичны. Эта байесова вероятность генетической идентичности геномных профилей иногда называется инкриминирующей вероятностью IP от англ.: Incriminating Probability: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Normal"/>
        <w:jc w:val="center"/>
      </w:pPr>
      <w:r>
        <w:t>IP = 1 / (1 + Q),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Normal"/>
        <w:ind w:firstLine="540"/>
        <w:jc w:val="both"/>
      </w:pPr>
      <w:r>
        <w:t>где Q - это частота</w:t>
      </w:r>
      <w:r>
        <w:t xml:space="preserve"> генотипа.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(Следует оговориться, что подобный расчет приемлем только в том случае, если происхождение генетического материала от подозреваемого не исключается другими методами, и если следы оставил один человек.)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Аналогично, в случае неисключающей эксперти</w:t>
      </w:r>
      <w:r>
        <w:t>зы спорного отцовства, байесова постериорная вероятность того, что при наблюдаемом совпадении отцовского аллеля в геномном профиле ребенка с одним из аллелей предполагаемого отца этот мужчина является его биологическим отцом, называется вероятностью отцовс</w:t>
      </w:r>
      <w:r>
        <w:t>тва PP (англ. - Paternity Probability) и выражается формулой: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Normal"/>
        <w:jc w:val="center"/>
      </w:pPr>
      <w:r>
        <w:t>PP = 1 / (1 + q),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Normal"/>
        <w:ind w:firstLine="540"/>
        <w:jc w:val="both"/>
      </w:pPr>
      <w:r>
        <w:t>где q - статистическая частота отцовского аллеля, выявленного в геномном профиле ребенка.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Обе эти вероятности часто выражают в процентах: PP х 100 = %.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Title"/>
        <w:jc w:val="center"/>
        <w:outlineLvl w:val="0"/>
      </w:pPr>
      <w:r>
        <w:t>Эффективность использования метода и показания к применению</w:t>
      </w:r>
    </w:p>
    <w:p w:rsidR="00000000" w:rsidRDefault="00172756">
      <w:pPr>
        <w:pStyle w:val="ConsPlusNormal"/>
        <w:jc w:val="center"/>
      </w:pPr>
    </w:p>
    <w:p w:rsidR="00000000" w:rsidRDefault="00172756">
      <w:pPr>
        <w:pStyle w:val="ConsPlusNormal"/>
        <w:ind w:firstLine="540"/>
        <w:jc w:val="both"/>
      </w:pPr>
      <w:r>
        <w:t>В настоящее время экспертные исследования биологических объектов с использованием методов молекулярно-генетической индивидуализации человека прочно вошли в арсенал судебно-медицинских служб больш</w:t>
      </w:r>
      <w:r>
        <w:t>инства развитых стран мира. Более чем десятилетний мировой опыт внедрения этих технологий в практику работы правоохранительных органов убедительно свидетельствует о том, что благодаря им эффективность расследования многих тяжких преступлений против личност</w:t>
      </w:r>
      <w:r>
        <w:t>и может быть существенно повышена.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 xml:space="preserve">С точки зрения задач судебно-медицинской экспертизы использование анализа ПДАФ </w:t>
      </w:r>
      <w:r>
        <w:lastRenderedPageBreak/>
        <w:t>наиболее эффективно в двух случаях: это идентификация личности и установление биологического родства.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Речь может идти об идентификации личност</w:t>
      </w:r>
      <w:r>
        <w:t>и при расследовании убийств, тяжких телесных повреждений, изнасилований и других преступлений против личности, требующих судебно-медицинского исследования вещественных доказательств, а также при опознании расчлененных, сильно деформированных, обгоревших тр</w:t>
      </w:r>
      <w:r>
        <w:t>упов - в случае массовых катастроф, взрывов, землетрясений и военных конфликтов.</w:t>
      </w:r>
    </w:p>
    <w:p w:rsidR="00000000" w:rsidRDefault="00172756">
      <w:pPr>
        <w:pStyle w:val="ConsPlusNormal"/>
        <w:spacing w:before="240"/>
        <w:ind w:firstLine="540"/>
        <w:jc w:val="both"/>
      </w:pPr>
      <w:r>
        <w:t>В то же время, геномная "дактилоскопия", как иногда называют вышеописанный анализ ПДАФ, в отличие от традиционной криминалистической дактилоскопии позволяет не только однознач</w:t>
      </w:r>
      <w:r>
        <w:t>но устанавливать личность, но также определять кровное родство лиц. Это делает ее незаменимым экспертным методом в сложных случаях подмены, утери, похищения детей, определения родства малолетних или потерявших память лиц, выявления фактов кровосмешения. Ме</w:t>
      </w:r>
      <w:r>
        <w:t>тод также весьма эффективно используется и при решении гражданских дел - для установления отцовства или материнства.</w:t>
      </w:r>
    </w:p>
    <w:p w:rsidR="00000000" w:rsidRDefault="00172756">
      <w:pPr>
        <w:pStyle w:val="ConsPlusNormal"/>
        <w:ind w:firstLine="540"/>
        <w:jc w:val="both"/>
      </w:pPr>
    </w:p>
    <w:p w:rsidR="00000000" w:rsidRDefault="00172756">
      <w:pPr>
        <w:pStyle w:val="ConsPlusNormal"/>
        <w:ind w:firstLine="540"/>
        <w:jc w:val="both"/>
      </w:pPr>
    </w:p>
    <w:p w:rsidR="00172756" w:rsidRDefault="00172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72756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56" w:rsidRDefault="00172756">
      <w:pPr>
        <w:spacing w:after="0" w:line="240" w:lineRule="auto"/>
      </w:pPr>
      <w:r>
        <w:separator/>
      </w:r>
    </w:p>
  </w:endnote>
  <w:endnote w:type="continuationSeparator" w:id="0">
    <w:p w:rsidR="00172756" w:rsidRDefault="0017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727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7275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56" w:rsidRDefault="00172756">
      <w:pPr>
        <w:spacing w:after="0" w:line="240" w:lineRule="auto"/>
      </w:pPr>
      <w:r>
        <w:separator/>
      </w:r>
    </w:p>
  </w:footnote>
  <w:footnote w:type="continuationSeparator" w:id="0">
    <w:p w:rsidR="00172756" w:rsidRDefault="0017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727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7275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41"/>
    <w:rsid w:val="00172756"/>
    <w:rsid w:val="0033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06463"/>
  <w14:defaultImageDpi w14:val="0"/>
  <w15:docId w15:val="{97D85802-1966-4D3B-80FE-B935BED0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37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441"/>
  </w:style>
  <w:style w:type="paragraph" w:styleId="a5">
    <w:name w:val="footer"/>
    <w:basedOn w:val="a"/>
    <w:link w:val="a6"/>
    <w:uiPriority w:val="99"/>
    <w:unhideWhenUsed/>
    <w:rsid w:val="00337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8265</Words>
  <Characters>47114</Characters>
  <Application>Microsoft Office Word</Application>
  <DocSecurity>2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"Использование индивидуальных систем на основе полиморфизма длины амплифицированных фрагментов (ПДАФ) ДНК в судебно-медицинской экспертизе идентификации личности и установления родства. Методические указания N 98/253"(утв. Минздравом России 19.01.1999)</vt:lpstr>
    </vt:vector>
  </TitlesOfParts>
  <Company>КонсультантПлюс Версия 4018.00.50</Company>
  <LinksUpToDate>false</LinksUpToDate>
  <CharactersWithSpaces>55269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"Использование индивидуальных систем на основе полиморфизма длины амплифицированных фрагментов (ПДАФ) ДНК в судебно-медицинской экспертизе идентификации личности и установления родства. Методические указания N 98/253"(утв. Минздравом России 19.01.1999)</dc:title>
  <dc:subject/>
  <dc:creator>Ксения Заярнюк</dc:creator>
  <cp:keywords/>
  <dc:description/>
  <cp:lastModifiedBy>Ксения Заярнюк</cp:lastModifiedBy>
  <cp:revision>2</cp:revision>
  <dcterms:created xsi:type="dcterms:W3CDTF">2019-10-30T17:06:00Z</dcterms:created>
  <dcterms:modified xsi:type="dcterms:W3CDTF">2019-10-30T17:06:00Z</dcterms:modified>
</cp:coreProperties>
</file>